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341" w:type="dxa"/>
        <w:tblInd w:w="-1423" w:type="dxa"/>
        <w:tblLook w:val="04A0" w:firstRow="1" w:lastRow="0" w:firstColumn="1" w:lastColumn="0" w:noHBand="0" w:noVBand="1"/>
      </w:tblPr>
      <w:tblGrid>
        <w:gridCol w:w="3277"/>
        <w:gridCol w:w="2459"/>
        <w:gridCol w:w="568"/>
        <w:gridCol w:w="1586"/>
        <w:gridCol w:w="1145"/>
        <w:gridCol w:w="1153"/>
        <w:gridCol w:w="1153"/>
      </w:tblGrid>
      <w:tr w:rsidR="005416AF" w:rsidRPr="00DC767B" w14:paraId="34E9F7B6" w14:textId="77777777" w:rsidTr="00C027A8">
        <w:tc>
          <w:tcPr>
            <w:tcW w:w="11341" w:type="dxa"/>
            <w:gridSpan w:val="7"/>
            <w:vAlign w:val="center"/>
          </w:tcPr>
          <w:p w14:paraId="07467458" w14:textId="77777777" w:rsidR="005416AF" w:rsidRPr="00DC767B" w:rsidRDefault="00E7544E" w:rsidP="00931ED6">
            <w:pPr>
              <w:jc w:val="center"/>
              <w:rPr>
                <w:rFonts w:ascii="Leelawadee" w:hAnsi="Leelawadee" w:cs="Leelawadee"/>
              </w:rPr>
            </w:pPr>
            <w:r w:rsidRPr="00DC767B">
              <w:rPr>
                <w:rFonts w:ascii="Leelawadee" w:hAnsi="Leelawadee" w:cs="Leelawadee" w:hint="cs"/>
                <w:b/>
                <w:smallCaps/>
              </w:rPr>
              <w:t>Trabajo Final</w:t>
            </w:r>
          </w:p>
        </w:tc>
      </w:tr>
      <w:tr w:rsidR="00742980" w:rsidRPr="00DC767B" w14:paraId="46722834" w14:textId="77777777" w:rsidTr="00C027A8">
        <w:trPr>
          <w:trHeight w:val="420"/>
        </w:trPr>
        <w:tc>
          <w:tcPr>
            <w:tcW w:w="3260" w:type="dxa"/>
            <w:vAlign w:val="center"/>
          </w:tcPr>
          <w:p w14:paraId="0ED0CD3F" w14:textId="2FF965C8" w:rsidR="00B5715E" w:rsidRPr="00DC767B" w:rsidRDefault="00C11F46" w:rsidP="00931ED6">
            <w:pPr>
              <w:rPr>
                <w:rFonts w:ascii="Leelawadee" w:hAnsi="Leelawadee" w:cs="Leelawadee"/>
                <w:b/>
              </w:rPr>
            </w:pPr>
            <w:r w:rsidRPr="00DC767B">
              <w:rPr>
                <w:rFonts w:ascii="Leelawadee" w:hAnsi="Leelawadee" w:cs="Leelawadee" w:hint="cs"/>
                <w:b/>
              </w:rPr>
              <w:t>Grupo</w:t>
            </w:r>
            <w:r w:rsidR="00DC767B">
              <w:rPr>
                <w:rFonts w:ascii="Leelawadee" w:hAnsi="Leelawadee" w:cs="Leelawadee"/>
                <w:b/>
              </w:rPr>
              <w:t xml:space="preserve"> H</w:t>
            </w:r>
          </w:p>
        </w:tc>
        <w:tc>
          <w:tcPr>
            <w:tcW w:w="2978" w:type="dxa"/>
            <w:gridSpan w:val="2"/>
            <w:vAlign w:val="center"/>
          </w:tcPr>
          <w:p w14:paraId="7B5EB257" w14:textId="010B5DC4" w:rsidR="00B5715E" w:rsidRPr="00DC767B" w:rsidRDefault="00DC767B" w:rsidP="00931ED6">
            <w:pPr>
              <w:rPr>
                <w:rFonts w:ascii="Leelawadee" w:hAnsi="Leelawadee" w:cs="Leelawadee"/>
              </w:rPr>
            </w:pPr>
            <w:r w:rsidRPr="00DC767B">
              <w:rPr>
                <w:rFonts w:ascii="Leelawadee" w:hAnsi="Leelawadee" w:cs="Leelawadee"/>
              </w:rPr>
              <w:t xml:space="preserve">Smurfit Kappa Cartón de Colombia </w:t>
            </w:r>
            <w:r>
              <w:rPr>
                <w:rFonts w:ascii="Leelawadee" w:hAnsi="Leelawadee" w:cs="Leelawadee"/>
              </w:rPr>
              <w:t xml:space="preserve">S.A </w:t>
            </w:r>
          </w:p>
        </w:tc>
        <w:tc>
          <w:tcPr>
            <w:tcW w:w="1645" w:type="dxa"/>
            <w:vAlign w:val="center"/>
          </w:tcPr>
          <w:p w14:paraId="7AECA63E" w14:textId="77777777" w:rsidR="00B5715E" w:rsidRPr="00DC767B" w:rsidRDefault="00E7544E" w:rsidP="00931ED6">
            <w:pPr>
              <w:rPr>
                <w:rFonts w:ascii="Leelawadee" w:hAnsi="Leelawadee" w:cs="Leelawadee"/>
                <w:b/>
              </w:rPr>
            </w:pPr>
            <w:r w:rsidRPr="00DC767B">
              <w:rPr>
                <w:rFonts w:ascii="Leelawadee" w:hAnsi="Leelawadee" w:cs="Leelawadee" w:hint="cs"/>
                <w:b/>
              </w:rPr>
              <w:t>Fecha</w:t>
            </w:r>
          </w:p>
        </w:tc>
        <w:tc>
          <w:tcPr>
            <w:tcW w:w="1152" w:type="dxa"/>
            <w:vAlign w:val="center"/>
          </w:tcPr>
          <w:p w14:paraId="63B2956D" w14:textId="08D92CEE" w:rsidR="00B5715E" w:rsidRPr="00DC767B" w:rsidRDefault="00DC767B" w:rsidP="00931ED6">
            <w:pPr>
              <w:rPr>
                <w:rFonts w:ascii="Leelawadee" w:hAnsi="Leelawadee" w:cs="Leelawadee"/>
                <w:b/>
                <w:color w:val="808080" w:themeColor="background1" w:themeShade="80"/>
              </w:rPr>
            </w:pPr>
            <w:r>
              <w:rPr>
                <w:rFonts w:ascii="Leelawadee" w:hAnsi="Leelawadee" w:cs="Leelawadee"/>
                <w:b/>
                <w:color w:val="808080" w:themeColor="background1" w:themeShade="80"/>
              </w:rPr>
              <w:t xml:space="preserve">29 </w:t>
            </w:r>
          </w:p>
        </w:tc>
        <w:tc>
          <w:tcPr>
            <w:tcW w:w="1153" w:type="dxa"/>
            <w:vAlign w:val="center"/>
          </w:tcPr>
          <w:p w14:paraId="551B6F02" w14:textId="0160523D" w:rsidR="00B5715E" w:rsidRPr="00DC767B" w:rsidRDefault="00DC767B" w:rsidP="00931ED6">
            <w:pPr>
              <w:rPr>
                <w:rFonts w:ascii="Leelawadee" w:hAnsi="Leelawadee" w:cs="Leelawadee"/>
                <w:b/>
                <w:color w:val="808080" w:themeColor="background1" w:themeShade="80"/>
              </w:rPr>
            </w:pPr>
            <w:r>
              <w:rPr>
                <w:rFonts w:ascii="Leelawadee" w:hAnsi="Leelawadee" w:cs="Leelawadee"/>
                <w:b/>
                <w:color w:val="808080" w:themeColor="background1" w:themeShade="80"/>
              </w:rPr>
              <w:t>mayo</w:t>
            </w:r>
          </w:p>
        </w:tc>
        <w:tc>
          <w:tcPr>
            <w:tcW w:w="1153" w:type="dxa"/>
            <w:vAlign w:val="center"/>
          </w:tcPr>
          <w:p w14:paraId="187E7599" w14:textId="712F3079" w:rsidR="00B5715E" w:rsidRPr="00DC767B" w:rsidRDefault="00DC767B" w:rsidP="00931ED6">
            <w:pPr>
              <w:rPr>
                <w:rFonts w:ascii="Leelawadee" w:hAnsi="Leelawadee" w:cs="Leelawadee"/>
                <w:b/>
                <w:color w:val="808080" w:themeColor="background1" w:themeShade="80"/>
              </w:rPr>
            </w:pPr>
            <w:r>
              <w:rPr>
                <w:rFonts w:ascii="Leelawadee" w:hAnsi="Leelawadee" w:cs="Leelawadee"/>
                <w:b/>
                <w:color w:val="808080" w:themeColor="background1" w:themeShade="80"/>
              </w:rPr>
              <w:t>2020</w:t>
            </w:r>
          </w:p>
        </w:tc>
      </w:tr>
      <w:tr w:rsidR="00B5715E" w:rsidRPr="00DC767B" w14:paraId="6F5548AF" w14:textId="77777777" w:rsidTr="00C027A8">
        <w:trPr>
          <w:trHeight w:val="250"/>
        </w:trPr>
        <w:tc>
          <w:tcPr>
            <w:tcW w:w="11341" w:type="dxa"/>
            <w:gridSpan w:val="7"/>
          </w:tcPr>
          <w:p w14:paraId="247D2085" w14:textId="47B7B753" w:rsidR="00E7544E" w:rsidRPr="00DC767B" w:rsidRDefault="00E7544E" w:rsidP="00931ED6">
            <w:pPr>
              <w:rPr>
                <w:rFonts w:ascii="Leelawadee" w:hAnsi="Leelawadee" w:cs="Leelawadee"/>
                <w:b/>
                <w:smallCaps/>
                <w:sz w:val="22"/>
                <w:szCs w:val="22"/>
              </w:rPr>
            </w:pPr>
            <w:r w:rsidRPr="00DC767B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>Recomendación</w:t>
            </w:r>
          </w:p>
        </w:tc>
      </w:tr>
      <w:tr w:rsidR="00E7544E" w:rsidRPr="00DC767B" w14:paraId="601B225A" w14:textId="77777777" w:rsidTr="00427754">
        <w:trPr>
          <w:trHeight w:val="1262"/>
        </w:trPr>
        <w:tc>
          <w:tcPr>
            <w:tcW w:w="11341" w:type="dxa"/>
            <w:gridSpan w:val="7"/>
          </w:tcPr>
          <w:p w14:paraId="65D1A9F0" w14:textId="77777777" w:rsidR="00DC767B" w:rsidRDefault="00DC767B" w:rsidP="00DC767B">
            <w:pPr>
              <w:pStyle w:val="NormalWeb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</w:p>
          <w:p w14:paraId="3EF0B334" w14:textId="7D9204DE" w:rsidR="00DC767B" w:rsidRPr="00443A11" w:rsidRDefault="00DC767B" w:rsidP="00DC767B">
            <w:pPr>
              <w:pStyle w:val="NormalWeb"/>
              <w:spacing w:before="0" w:beforeAutospacing="0" w:after="0" w:afterAutospacing="0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Cartón de Colombia pertenece al Grupo Smurfit-Kappa, su oficina central está ubicada en Yumbo y es líder en producción de papel, pulpa y empaques de cartón para industrias como la alimenticia, cementos y floricultura.</w:t>
            </w:r>
          </w:p>
          <w:p w14:paraId="33179687" w14:textId="165031D1" w:rsidR="00DC767B" w:rsidRPr="00443A11" w:rsidRDefault="00DC767B" w:rsidP="00DC767B">
            <w:pPr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00443A11">
              <w:rPr>
                <w:rFonts w:ascii="Leelawadee" w:hAnsi="Leelawadee" w:cs="Leelawadee" w:hint="cs"/>
                <w:sz w:val="20"/>
                <w:szCs w:val="20"/>
              </w:rPr>
              <w:br/>
            </w:r>
            <w:r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No obstante, el </w:t>
            </w:r>
            <w:r w:rsidR="003B20BE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mayor </w:t>
            </w:r>
            <w:r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pago de </w:t>
            </w:r>
            <w:r w:rsidRPr="00443A11">
              <w:rPr>
                <w:rFonts w:ascii="Leelawadee" w:hAnsi="Leelawadee" w:cs="Leelawadee"/>
                <w:color w:val="000000"/>
                <w:sz w:val="20"/>
                <w:szCs w:val="20"/>
              </w:rPr>
              <w:t>dividendos</w:t>
            </w:r>
            <w:r>
              <w:rPr>
                <w:rFonts w:ascii="Leelawadee" w:hAnsi="Leelawadee" w:cs="Leelawadee"/>
                <w:color w:val="000000"/>
                <w:sz w:val="20"/>
                <w:szCs w:val="20"/>
              </w:rPr>
              <w:t>,</w:t>
            </w:r>
            <w:r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la rentabilidad</w:t>
            </w:r>
            <w:r w:rsidR="009C68E0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 </w:t>
            </w:r>
            <w:r w:rsidR="009C68E0"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desmejoró</w:t>
            </w:r>
            <w:r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(2018-2019), evidenciado en el ROE (8,5%-5,7%), adicionalmente, la inestabilidad del FCDR compromete la sostenibilidad y su estructura de capital es afecta</w:t>
            </w:r>
            <w:r w:rsidR="009C68E0">
              <w:rPr>
                <w:rFonts w:ascii="Leelawadee" w:hAnsi="Leelawadee" w:cs="Leelawadee"/>
                <w:color w:val="000000"/>
                <w:sz w:val="20"/>
                <w:szCs w:val="20"/>
              </w:rPr>
              <w:t>da</w:t>
            </w:r>
            <w:r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</w:t>
            </w:r>
            <w:r w:rsidR="0009260A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por </w:t>
            </w:r>
            <w:r w:rsidR="009C68E0">
              <w:rPr>
                <w:rFonts w:ascii="Leelawadee" w:hAnsi="Leelawadee" w:cs="Leelawadee"/>
                <w:color w:val="000000"/>
                <w:sz w:val="20"/>
                <w:szCs w:val="20"/>
              </w:rPr>
              <w:t>el</w:t>
            </w:r>
            <w:r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incremento de la deuda en comparación al ingreso,</w:t>
            </w:r>
            <w:r w:rsidR="0009260A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 por </w:t>
            </w:r>
            <w:r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esto</w:t>
            </w:r>
            <w:r w:rsidR="009C68E0">
              <w:rPr>
                <w:rFonts w:ascii="Leelawadee" w:hAnsi="Leelawadee" w:cs="Leelawadee"/>
                <w:color w:val="000000"/>
                <w:sz w:val="20"/>
                <w:szCs w:val="20"/>
              </w:rPr>
              <w:t>,</w:t>
            </w:r>
            <w:r w:rsidRPr="00443A11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sumado a cambios macroeconómicos y baja bursatilidad de acciones, no se recomienda adquirir participación accionaria del 10% de la misma a 12 meses.</w:t>
            </w:r>
          </w:p>
          <w:p w14:paraId="35D24E85" w14:textId="56EF8C92" w:rsidR="00DC767B" w:rsidRPr="00DC767B" w:rsidRDefault="00DC767B" w:rsidP="003C405D">
            <w:pPr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3C405D" w:rsidRPr="00DC767B" w14:paraId="364DE9EF" w14:textId="77777777" w:rsidTr="00C027A8">
        <w:trPr>
          <w:trHeight w:val="275"/>
        </w:trPr>
        <w:tc>
          <w:tcPr>
            <w:tcW w:w="11341" w:type="dxa"/>
            <w:gridSpan w:val="7"/>
          </w:tcPr>
          <w:p w14:paraId="0D133E69" w14:textId="5B7C827A" w:rsidR="003C405D" w:rsidRPr="00DC767B" w:rsidRDefault="003C405D" w:rsidP="00931ED6">
            <w:pPr>
              <w:jc w:val="both"/>
              <w:rPr>
                <w:rFonts w:ascii="Leelawadee" w:hAnsi="Leelawadee" w:cs="Leelawadee"/>
                <w:sz w:val="22"/>
                <w:szCs w:val="22"/>
              </w:rPr>
            </w:pPr>
            <w:r w:rsidRPr="00DC767B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>Análisis Macroeconómico</w:t>
            </w:r>
          </w:p>
        </w:tc>
      </w:tr>
      <w:tr w:rsidR="003C405D" w:rsidRPr="00DC767B" w14:paraId="4E784018" w14:textId="77777777" w:rsidTr="00C027A8">
        <w:trPr>
          <w:trHeight w:val="281"/>
        </w:trPr>
        <w:tc>
          <w:tcPr>
            <w:tcW w:w="11341" w:type="dxa"/>
            <w:gridSpan w:val="7"/>
          </w:tcPr>
          <w:p w14:paraId="277D8673" w14:textId="3B86295D" w:rsidR="003C405D" w:rsidRDefault="003C405D" w:rsidP="00427754">
            <w:pPr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  <w:p w14:paraId="5610368A" w14:textId="6508955F" w:rsidR="00DC767B" w:rsidRPr="003754C5" w:rsidRDefault="00DC767B" w:rsidP="00DC767B">
            <w:pPr>
              <w:pStyle w:val="NormalWeb"/>
              <w:spacing w:before="0" w:beforeAutospacing="0" w:after="0" w:afterAutospacing="0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La inflación en Colombia disminuy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>ó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de 4,1%-3,8% (2017-2019) y se espera una disminución</w:t>
            </w:r>
            <w:r w:rsidR="00121CFB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 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a 3,</w:t>
            </w:r>
            <w:r w:rsidR="00AB018F">
              <w:rPr>
                <w:rFonts w:ascii="Leelawadee" w:hAnsi="Leelawadee" w:cs="Leelawadee"/>
                <w:color w:val="000000"/>
                <w:sz w:val="20"/>
                <w:szCs w:val="20"/>
              </w:rPr>
              <w:t>1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%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 </w:t>
            </w:r>
            <w:r w:rsidR="00121CFB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de la misma </w:t>
            </w:r>
            <w:r w:rsidR="00BD416D"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(FMI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>,2020</w:t>
            </w:r>
            <w:r w:rsidR="00BD416D"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)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, esto resulta beneficioso, ya que disminuye la incertidumbre aumentando la iniciativa de inversión, además, el PIB ha aumentado 1,4%-3,3%, sin embargo, la situación sanitaria puede provocar 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el desaceleramiento 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de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>l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>-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2,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>4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% del mismo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 </w:t>
            </w:r>
            <w:r w:rsidR="00BD416D"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(FMI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>,2020</w:t>
            </w:r>
            <w:r w:rsidR="00BD416D"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)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, lo cual </w:t>
            </w:r>
            <w:r w:rsidR="00BD416D" w:rsidRPr="003754C5">
              <w:rPr>
                <w:rFonts w:ascii="Leelawadee" w:hAnsi="Leelawadee" w:cs="Leelawadee"/>
                <w:color w:val="000000"/>
                <w:sz w:val="20"/>
                <w:szCs w:val="20"/>
              </w:rPr>
              <w:t>desencadena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>ría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una 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desestabilidad 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>económica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, debido al menor poder adquisitivo</w:t>
            </w:r>
            <w:r w:rsidR="00BD416D">
              <w:rPr>
                <w:rFonts w:ascii="Leelawadee" w:hAnsi="Leelawadee" w:cs="Leelawadee"/>
                <w:color w:val="000000"/>
                <w:sz w:val="20"/>
                <w:szCs w:val="20"/>
              </w:rPr>
              <w:t>.</w:t>
            </w:r>
          </w:p>
          <w:p w14:paraId="47093375" w14:textId="77777777" w:rsidR="00DC767B" w:rsidRPr="003754C5" w:rsidRDefault="00DC767B" w:rsidP="00DC767B">
            <w:pPr>
              <w:rPr>
                <w:rFonts w:ascii="Leelawadee" w:hAnsi="Leelawadee" w:cs="Leelawadee"/>
                <w:sz w:val="20"/>
                <w:szCs w:val="20"/>
              </w:rPr>
            </w:pPr>
          </w:p>
          <w:p w14:paraId="4707FBDA" w14:textId="21BE6285" w:rsidR="00DC767B" w:rsidRPr="003754C5" w:rsidRDefault="00DC767B" w:rsidP="00DC767B">
            <w:pPr>
              <w:pStyle w:val="NormalWeb"/>
              <w:spacing w:before="0" w:beforeAutospacing="0" w:after="0" w:afterAutospacing="0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La devaluación del peso se da principalmente por el decrecimiento del valor del petróleo, que ha tenido una fuerte caída a principios de 2020, a su vez, desencadena el alza del precio </w:t>
            </w:r>
            <w:r w:rsidR="00742F84">
              <w:rPr>
                <w:rFonts w:ascii="Leelawadee" w:hAnsi="Leelawadee" w:cs="Leelawadee"/>
                <w:color w:val="000000"/>
                <w:sz w:val="20"/>
                <w:szCs w:val="20"/>
              </w:rPr>
              <w:t xml:space="preserve">de </w:t>
            </w: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materias primas necesarias para la producción de papel. Adicionalmente, la tasa de tributación es 33% de la ganancia ordinaria y disminuirá a 30% en 2022, sin embargo, es superior al de otros integrantes de la OCDE, lo que implica un menor atractivo debido al detrimento que causa en las utilidades.</w:t>
            </w:r>
          </w:p>
          <w:p w14:paraId="1855A6B3" w14:textId="77777777" w:rsidR="00DC767B" w:rsidRPr="003754C5" w:rsidRDefault="00DC767B" w:rsidP="00DC767B">
            <w:pPr>
              <w:rPr>
                <w:rFonts w:ascii="Leelawadee" w:hAnsi="Leelawadee" w:cs="Leelawadee"/>
                <w:sz w:val="20"/>
                <w:szCs w:val="20"/>
              </w:rPr>
            </w:pPr>
          </w:p>
          <w:p w14:paraId="28E8E5F7" w14:textId="77777777" w:rsidR="00DC767B" w:rsidRPr="003754C5" w:rsidRDefault="00DC767B" w:rsidP="00DC767B">
            <w:pPr>
              <w:pStyle w:val="NormalWeb"/>
              <w:spacing w:before="0" w:beforeAutospacing="0" w:after="0" w:afterAutospacing="0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003754C5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Considerando Doing Business (2019-2020), Colombia pasa del puesto 65 al 67, principalmente afectada por las dificultades del comercio transfronterizo, debido a los costoso que esto implica, adicionalmente, los constantes cambios en las reformas tributarias crean incertidumbre acerca de las acciones que se podrán tomar a futuro debido al marco jurídico.</w:t>
            </w:r>
          </w:p>
          <w:p w14:paraId="53B47EFB" w14:textId="559746A2" w:rsidR="00DC767B" w:rsidRPr="00DC767B" w:rsidRDefault="00DC767B" w:rsidP="00427754">
            <w:pPr>
              <w:jc w:val="both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tr w:rsidR="00200610" w:rsidRPr="00DC767B" w14:paraId="0E4B82CE" w14:textId="77777777" w:rsidTr="00C027A8">
        <w:trPr>
          <w:trHeight w:val="323"/>
        </w:trPr>
        <w:tc>
          <w:tcPr>
            <w:tcW w:w="11341" w:type="dxa"/>
            <w:gridSpan w:val="7"/>
          </w:tcPr>
          <w:p w14:paraId="3E2AE2CC" w14:textId="3809EE17" w:rsidR="00200610" w:rsidRPr="007D4CC6" w:rsidRDefault="00200610" w:rsidP="00931ED6">
            <w:pPr>
              <w:jc w:val="both"/>
              <w:rPr>
                <w:rFonts w:ascii="Leelawadee" w:hAnsi="Leelawadee" w:cs="Leelawadee"/>
                <w:sz w:val="22"/>
                <w:szCs w:val="22"/>
              </w:rPr>
            </w:pPr>
            <w:r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 xml:space="preserve">Análisis </w:t>
            </w:r>
            <w:r w:rsidR="00A66D52"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>de I</w:t>
            </w:r>
            <w:r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 xml:space="preserve">ndustria </w:t>
            </w:r>
            <w:r w:rsidR="003C405D"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 xml:space="preserve">y Factores Clave de Éxito </w:t>
            </w:r>
          </w:p>
        </w:tc>
      </w:tr>
      <w:tr w:rsidR="00200610" w:rsidRPr="00DC767B" w14:paraId="185E3098" w14:textId="77777777" w:rsidTr="00427754">
        <w:trPr>
          <w:trHeight w:val="4794"/>
        </w:trPr>
        <w:tc>
          <w:tcPr>
            <w:tcW w:w="11341" w:type="dxa"/>
            <w:gridSpan w:val="7"/>
          </w:tcPr>
          <w:p w14:paraId="1AE39706" w14:textId="75D501E3" w:rsidR="00DC767B" w:rsidRDefault="00DC767B" w:rsidP="00695C51">
            <w:pPr>
              <w:spacing w:before="240"/>
              <w:ind w:left="720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3AF0EB" wp14:editId="775856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4494362" cy="1954924"/>
                      <wp:effectExtent l="0" t="0" r="0" b="762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4362" cy="19549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7F11A" w14:textId="77777777" w:rsidR="00DC767B" w:rsidRPr="00E04D1D" w:rsidRDefault="00DC767B" w:rsidP="00DC767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Leelawadee" w:hAnsi="Leelawadee" w:cs="Leelawadee"/>
                                      <w:sz w:val="20"/>
                                      <w:szCs w:val="20"/>
                                    </w:rPr>
                                  </w:pPr>
                                  <w:r w:rsidRPr="00E04D1D">
                                    <w:rPr>
                                      <w:rFonts w:ascii="Leelawadee" w:hAnsi="Leelawadee" w:cs="Leelawadee" w:hint="cs"/>
                                      <w:color w:val="000000"/>
                                      <w:sz w:val="20"/>
                                      <w:szCs w:val="20"/>
                                    </w:rPr>
                                    <w:t>Cartón de Colombia tiene subsidiarias como Reforestadora Andina S.A. y Bosques Nacionales Bosnal S.A, que proveen plantaciones forestales y transporte, estas pueden verse afectadas por factores ambientales, además, la necesidad de importación de materias primas obliga a la empresa a absorber los costos que genera la devaluación del peso colombiano, a causa de no tener productos sustitutos. </w:t>
                                  </w:r>
                                </w:p>
                                <w:p w14:paraId="27293D9A" w14:textId="77777777" w:rsidR="00DC767B" w:rsidRPr="00E04D1D" w:rsidRDefault="00DC767B" w:rsidP="00DC767B">
                                  <w:pPr>
                                    <w:rPr>
                                      <w:rFonts w:ascii="Leelawadee" w:hAnsi="Leelawadee" w:cs="Leelawade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2CF789" w14:textId="77777777" w:rsidR="00DC767B" w:rsidRPr="00E04D1D" w:rsidRDefault="00DC767B" w:rsidP="00DC767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Leelawadee" w:hAnsi="Leelawadee" w:cs="Leelawadee"/>
                                      <w:sz w:val="20"/>
                                      <w:szCs w:val="20"/>
                                    </w:rPr>
                                  </w:pPr>
                                  <w:r w:rsidRPr="00E04D1D">
                                    <w:rPr>
                                      <w:rFonts w:ascii="Leelawadee" w:hAnsi="Leelawadee" w:cs="Leelawadee" w:hint="c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Por otro lado, Cartón de Colombia tiene la cuota de mercado más alta en la industria (9,9%) (EMIS,2018), no obstante, Carvajal Pulpa y Papel tiene una cuota semejante (6,2%) con capacidad de expansión, esto sumado al lento crecimiento de la industria (1,8%-1,9%) y la existencia de </w:t>
                                  </w:r>
                                  <w:bookmarkStart w:id="0" w:name="_GoBack"/>
                                  <w:bookmarkEnd w:id="0"/>
                                  <w:r w:rsidRPr="00E04D1D">
                                    <w:rPr>
                                      <w:rFonts w:ascii="Leelawadee" w:hAnsi="Leelawadee" w:cs="Leelawadee" w:hint="cs"/>
                                      <w:color w:val="000000"/>
                                      <w:sz w:val="20"/>
                                      <w:szCs w:val="20"/>
                                    </w:rPr>
                                    <w:t>productos con la misma función, pero sin las mismas especificaciones, representan un riesgo</w:t>
                                  </w:r>
                                  <w:r>
                                    <w:rPr>
                                      <w:rFonts w:ascii="Leelawadee" w:hAnsi="Leelawadee" w:cs="Leelawadee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C21449E" w14:textId="3D27A7B8" w:rsidR="00DC767B" w:rsidRDefault="00DC767B" w:rsidP="00DC767B"/>
                                <w:p w14:paraId="355A2279" w14:textId="579A8737" w:rsidR="00695C51" w:rsidRDefault="00695C51" w:rsidP="00DC767B"/>
                                <w:p w14:paraId="5E4232B4" w14:textId="77777777" w:rsidR="00695C51" w:rsidRDefault="00695C51" w:rsidP="00DC7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AF0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3" o:spid="_x0000_s1026" type="#_x0000_t202" style="position:absolute;left:0;text-align:left;margin-left:-.5pt;margin-top:.65pt;width:353.9pt;height:15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2NNQIAAFsEAAAOAAAAZHJzL2Uyb0RvYy54bWysVE2P2yAQvVfqf0DcG+fDSZsozirNKlWl&#10;1e5K2WrPBENsCRgKJHb66ztgJxtte6p6wcPM8IZ58/DyrtWKnITzNZiCjgZDSoThUNbmUNAfL9tP&#10;XyjxgZmSKTCioGfh6d3q44dlYxdiDBWoUjiCIMYvGlvQKgS7yDLPK6GZH4AVBoMSnGYBt+6QlY41&#10;iK5VNh4OZ1kDrrQOuPAevfddkK4SvpSChycpvQhEFRTvFtLq0rqPa7ZassXBMVvVvL8G+4dbaFYb&#10;LHqFumeBkaOr/4DSNXfgQYYBB52BlDUXqQfsZjR8182uYlakXpAcb680+f8Hyx9Pz47UJc5uQolh&#10;Gme0ObLSASkFCaINQDCCNDXWLzB7ZzE/tF+hxSMXv0dn7L6VTscv9kUwjoSfryQjFOHozPN5PpmN&#10;KeEYG82n+XycR5zs7bh1PnwToEk0CupwiolcdnrwoUu9pMRqBra1UmmSypCmoLPJdJgOXCMIrgzW&#10;iE10l41WaPdt39keyjM25qBTiLd8W2PxB+bDM3MoCewFZR6ecJEKsAj0FiUVuF9/88d8nBRGKWlQ&#10;YgX1P4/MCUrUd4MznI/yPGoybfLp5zFu3G1kfxsxR70BVPEIH5TlyYz5QV1M6UC/4mtYx6oYYoZj&#10;7YKGi7kJnfDxNXGxXqckVKFl4cHsLI/Qkc5I7Uv7ypzt+Y8qeISLGNni3Ri63G4Q62MAWacZRYI7&#10;VnveUcFpyv1ri0/kdp+y3v4Jq98AAAD//wMAUEsDBBQABgAIAAAAIQDng9Hl4AAAAAgBAAAPAAAA&#10;ZHJzL2Rvd25yZXYueG1sTI/BTsMwDIbvSLxDZCRuW7JOjNE1naZKExKCw8Yu3NzGa6s1SWmyrfD0&#10;mBMc7d/6/X3ZerSduNAQWu80zKYKBLnKm9bVGg7v28kSRIjoDHbekYYvCrDOb28yTI2/uh1d9rEW&#10;XOJCihqaGPtUylA1ZDFMfU+Os6MfLEYeh1qaAa9cbjuZKLWQFlvHHxrsqWioOu3PVsNLsX3DXZnY&#10;5XdXPL8eN/3n4eNB6/u7cbMCEWmMf8fwi8/okDNT6c/OBNFpmMxYJfJ+DoLjR7Vgk1LDXD0lIPNM&#10;/hfIfwAAAP//AwBQSwECLQAUAAYACAAAACEAtoM4kv4AAADhAQAAEwAAAAAAAAAAAAAAAAAAAAAA&#10;W0NvbnRlbnRfVHlwZXNdLnhtbFBLAQItABQABgAIAAAAIQA4/SH/1gAAAJQBAAALAAAAAAAAAAAA&#10;AAAAAC8BAABfcmVscy8ucmVsc1BLAQItABQABgAIAAAAIQAzlo2NNQIAAFsEAAAOAAAAAAAAAAAA&#10;AAAAAC4CAABkcnMvZTJvRG9jLnhtbFBLAQItABQABgAIAAAAIQDng9Hl4AAAAAgBAAAPAAAAAAAA&#10;AAAAAAAAAI8EAABkcnMvZG93bnJldi54bWxQSwUGAAAAAAQABADzAAAAnAUAAAAA&#10;" filled="f" stroked="f" strokeweight=".5pt">
                      <v:textbox>
                        <w:txbxContent>
                          <w:p w14:paraId="3237F11A" w14:textId="77777777" w:rsidR="00DC767B" w:rsidRPr="00E04D1D" w:rsidRDefault="00DC767B" w:rsidP="00DC76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Leelawadee" w:hAnsi="Leelawadee" w:cs="Leelawadee"/>
                                <w:sz w:val="20"/>
                                <w:szCs w:val="20"/>
                              </w:rPr>
                            </w:pPr>
                            <w:r w:rsidRPr="00E04D1D">
                              <w:rPr>
                                <w:rFonts w:ascii="Leelawadee" w:hAnsi="Leelawadee" w:cs="Leelawadee" w:hint="cs"/>
                                <w:color w:val="000000"/>
                                <w:sz w:val="20"/>
                                <w:szCs w:val="20"/>
                              </w:rPr>
                              <w:t>Cartón de Colombia tiene subsidiarias como Reforestadora Andina S.A. y Bosques Nacionales Bosnal S.A, que proveen plantaciones forestales y transporte, estas pueden verse afectadas por factores ambientales, además, la necesidad de importación de materias primas obliga a la empresa a absorber los costos que genera la devaluación del peso colombiano, a causa de no tener productos sustitutos. </w:t>
                            </w:r>
                          </w:p>
                          <w:p w14:paraId="27293D9A" w14:textId="77777777" w:rsidR="00DC767B" w:rsidRPr="00E04D1D" w:rsidRDefault="00DC767B" w:rsidP="00DC767B">
                            <w:pPr>
                              <w:rPr>
                                <w:rFonts w:ascii="Leelawadee" w:hAnsi="Leelawadee" w:cs="Leelawadee"/>
                                <w:sz w:val="20"/>
                                <w:szCs w:val="20"/>
                              </w:rPr>
                            </w:pPr>
                          </w:p>
                          <w:p w14:paraId="742CF789" w14:textId="77777777" w:rsidR="00DC767B" w:rsidRPr="00E04D1D" w:rsidRDefault="00DC767B" w:rsidP="00DC767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Leelawadee" w:hAnsi="Leelawadee" w:cs="Leelawadee"/>
                                <w:sz w:val="20"/>
                                <w:szCs w:val="20"/>
                              </w:rPr>
                            </w:pPr>
                            <w:r w:rsidRPr="00E04D1D">
                              <w:rPr>
                                <w:rFonts w:ascii="Leelawadee" w:hAnsi="Leelawadee" w:cs="Leelawadee" w:hint="cs"/>
                                <w:color w:val="000000"/>
                                <w:sz w:val="20"/>
                                <w:szCs w:val="20"/>
                              </w:rPr>
                              <w:t xml:space="preserve">Por otro lado, Cartón de Colombia tiene la cuota de mercado más alta en la industria (9,9%) (EMIS,2018), no obstante, Carvajal Pulpa y Papel tiene una cuota semejante (6,2%) con capacidad de expansión, esto sumado al lento crecimiento de la industria (1,8%-1,9%) y la existencia de </w:t>
                            </w:r>
                            <w:bookmarkStart w:id="1" w:name="_GoBack"/>
                            <w:bookmarkEnd w:id="1"/>
                            <w:r w:rsidRPr="00E04D1D">
                              <w:rPr>
                                <w:rFonts w:ascii="Leelawadee" w:hAnsi="Leelawadee" w:cs="Leelawadee" w:hint="cs"/>
                                <w:color w:val="000000"/>
                                <w:sz w:val="20"/>
                                <w:szCs w:val="20"/>
                              </w:rPr>
                              <w:t>productos con la misma función, pero sin las mismas especificaciones, representan un riesgo</w:t>
                            </w:r>
                            <w:r>
                              <w:rPr>
                                <w:rFonts w:ascii="Leelawadee" w:hAnsi="Leelawadee" w:cs="Leelawadee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21449E" w14:textId="3D27A7B8" w:rsidR="00DC767B" w:rsidRDefault="00DC767B" w:rsidP="00DC767B"/>
                          <w:p w14:paraId="355A2279" w14:textId="579A8737" w:rsidR="00695C51" w:rsidRDefault="00695C51" w:rsidP="00DC767B"/>
                          <w:p w14:paraId="5E4232B4" w14:textId="77777777" w:rsidR="00695C51" w:rsidRDefault="00695C51" w:rsidP="00DC7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21468BE" wp14:editId="020B1A77">
                  <wp:extent cx="2380507" cy="1595887"/>
                  <wp:effectExtent l="0" t="0" r="1270" b="444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BFFBA4-F759-4CDB-B99C-477C49E13E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0248F11F" w14:textId="75E80286" w:rsidR="00DC767B" w:rsidRDefault="00DC767B" w:rsidP="00931ED6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5F1088D5" w14:textId="3C66DBEA" w:rsidR="00695C51" w:rsidRPr="00DC767B" w:rsidRDefault="00695C51" w:rsidP="00DC767B">
            <w:pPr>
              <w:jc w:val="both"/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24D694" wp14:editId="50CEB2DD">
                      <wp:simplePos x="0" y="0"/>
                      <wp:positionH relativeFrom="column">
                        <wp:posOffset>2822838</wp:posOffset>
                      </wp:positionH>
                      <wp:positionV relativeFrom="paragraph">
                        <wp:posOffset>20627</wp:posOffset>
                      </wp:positionV>
                      <wp:extent cx="4192970" cy="1613140"/>
                      <wp:effectExtent l="0" t="0" r="0" b="635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2970" cy="1613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A57462" w14:textId="77777777" w:rsidR="00695C51" w:rsidRPr="00E04D1D" w:rsidRDefault="00695C51" w:rsidP="00695C5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Leelawadee" w:hAnsi="Leelawadee" w:cs="Leelawadee"/>
                                      <w:sz w:val="20"/>
                                      <w:szCs w:val="20"/>
                                    </w:rPr>
                                  </w:pPr>
                                  <w:r w:rsidRPr="00E04D1D">
                                    <w:rPr>
                                      <w:rFonts w:ascii="Leelawadee" w:hAnsi="Leelawadee" w:cs="Leelawadee" w:hint="cs"/>
                                      <w:color w:val="000000"/>
                                      <w:sz w:val="20"/>
                                      <w:szCs w:val="20"/>
                                    </w:rPr>
                                    <w:t>Ahora bien, ningún comprador representa más del 10% de los ingresos, adicionalmente, la producción personalizada de empaques es una fortaleza ante los competidores, mas considerando la producción de pulpa y papel, al no ser un producto de exportación y poco diferenciado, se enfrenta a una mayor competencia y menor poder de negociación. </w:t>
                                  </w:r>
                                </w:p>
                                <w:p w14:paraId="526ECB90" w14:textId="77777777" w:rsidR="00695C51" w:rsidRPr="00E04D1D" w:rsidRDefault="00695C51" w:rsidP="00695C51">
                                  <w:pPr>
                                    <w:jc w:val="both"/>
                                    <w:rPr>
                                      <w:rFonts w:ascii="Leelawadee" w:hAnsi="Leelawadee" w:cs="Leelawadee"/>
                                      <w:sz w:val="20"/>
                                      <w:szCs w:val="20"/>
                                    </w:rPr>
                                  </w:pPr>
                                  <w:r w:rsidRPr="00E04D1D">
                                    <w:rPr>
                                      <w:rFonts w:ascii="Leelawadee" w:hAnsi="Leelawadee" w:cs="Leelawadee" w:hint="cs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E04D1D">
                                    <w:rPr>
                                      <w:rFonts w:ascii="Leelawadee" w:hAnsi="Leelawadee" w:cs="Leelawadee" w:hint="c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Finalmente, la empresa posee ventajas ante nuevos competidores, como el </w:t>
                                  </w:r>
                                  <w:r w:rsidRPr="00E04D1D">
                                    <w:rPr>
                                      <w:rFonts w:ascii="Leelawadee" w:hAnsi="Leelawadee" w:cs="Leelawadee" w:hint="cs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know-how</w:t>
                                  </w:r>
                                  <w:r w:rsidRPr="00E04D1D">
                                    <w:rPr>
                                      <w:rFonts w:ascii="Leelawadee" w:hAnsi="Leelawadee" w:cs="Leelawadee" w:hint="c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del Grupo Smurfit-Kappa, el potencial de producción a escala y la necesidad de inversión de capital en industria manufacturera.</w:t>
                                  </w:r>
                                </w:p>
                                <w:p w14:paraId="7F8425BB" w14:textId="77777777" w:rsidR="00695C51" w:rsidRPr="00CA4BD0" w:rsidRDefault="00695C51" w:rsidP="00695C5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Leelawadee" w:hAnsi="Leelawadee" w:cs="Leelawade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A86FA6" w14:textId="77777777" w:rsidR="00695C51" w:rsidRPr="00CA4BD0" w:rsidRDefault="00695C51" w:rsidP="00695C51">
                                  <w:pPr>
                                    <w:rPr>
                                      <w:rFonts w:ascii="Leelawadee" w:hAnsi="Leelawadee" w:cs="Leelawadee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CFD865" w14:textId="77777777" w:rsidR="00695C51" w:rsidRPr="00CA4BD0" w:rsidRDefault="00695C51" w:rsidP="00695C51">
                                  <w:pPr>
                                    <w:rPr>
                                      <w:rFonts w:ascii="Leelawadee" w:hAnsi="Leelawadee" w:cs="Leelawad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4D694" id="Cuadro de texto 2" o:spid="_x0000_s1027" type="#_x0000_t202" style="position:absolute;left:0;text-align:left;margin-left:222.25pt;margin-top:1.6pt;width:330.15pt;height:1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rmSgIAAIgEAAAOAAAAZHJzL2Uyb0RvYy54bWysVN9v2jAQfp+0/8Hy+whJKR0RoWJUTJNQ&#10;W4lOfTaODZYcn2cbEvbX7+wAZd2epr04d77z/fi+u0zvu0aTg3BegaloPhhSIgyHWpltRb+/LD99&#10;psQHZmqmwYiKHoWn97OPH6atLUUBO9C1cASDGF+2tqK7EGyZZZ7vRMP8AKwwaJTgGhZQddusdqzF&#10;6I3OiuFwnLXgauuAC+/x9qE30lmKL6Xg4UlKLwLRFcXaQjpdOjfxzGZTVm4dszvFT2Wwf6iiYcpg&#10;0kuoBxYY2Tv1R6hGcQceZBhwaDKQUnGResBu8uG7btY7ZkXqBcHx9gKT/39h+ePh2RFVV7SgxLAG&#10;KVrsWe2A1IIE0QUgRQSptb5E37VF79B9gQ7JPt97vIy9d9I18YtdEbQj3McLxBiJcLwc5ZNicocm&#10;jrZ8nN/ko0RC9vbcOh++CmhIFCrqkMMELTusfMBS0PXsErN50KpeKq2TEudGLLQjB4aM65CKxBe/&#10;eWlD2oqOb26HKbCB+LyPrA0miM32TUUpdJsuIXRpeAP1EXFw0I+Tt3ypsNYV8+GZOZwf7A93Ijzh&#10;ITVgLjhJlOzA/fzbffRHWtFKSYvzWFH/Y8+coER/M0j4JB8hUiQkZXR7V6Diri2ba4vZNwtAAHLc&#10;PsuTGP2DPovSQfOKqzOPWdHEDMfcFQ1ncRH6LcHV42I+T044spaFlVlbHkNHwCMTL90rc/ZEV5yZ&#10;RzhPLivfsdb7xpcG5vsAUiVKI849qif4cdwT06fVjPt0rSevtx/I7BcAAAD//wMAUEsDBBQABgAI&#10;AAAAIQAZArbp4QAAAAoBAAAPAAAAZHJzL2Rvd25yZXYueG1sTI9LT8MwEITvSPwHa5G4IOo0D4pC&#10;NhVCPCRuNDzEzY2XJCJeR7GbhH+Pe4LjaEYz3xTbxfRiotF1lhHWqwgEcW11xw3Ca/VweQ3CecVa&#10;9ZYJ4YccbMvTk0Ll2s78QtPONyKUsMsVQuv9kEvp6paMcis7EAfvy45G+SDHRupRzaHc9DKOoitp&#10;VMdhoVUD3bVUf+8OBuHzovl4dsvj25xkyXD/NFWbd10hnp8ttzcgPC3+LwxH/IAOZWDa2wNrJ3qE&#10;NE2zEEVIYhBHfx2l4cseIc42MciykP8vlL8AAAD//wMAUEsBAi0AFAAGAAgAAAAhALaDOJL+AAAA&#10;4QEAABMAAAAAAAAAAAAAAAAAAAAAAFtDb250ZW50X1R5cGVzXS54bWxQSwECLQAUAAYACAAAACEA&#10;OP0h/9YAAACUAQAACwAAAAAAAAAAAAAAAAAvAQAAX3JlbHMvLnJlbHNQSwECLQAUAAYACAAAACEA&#10;xYGK5koCAACIBAAADgAAAAAAAAAAAAAAAAAuAgAAZHJzL2Uyb0RvYy54bWxQSwECLQAUAAYACAAA&#10;ACEAGQK26eEAAAAKAQAADwAAAAAAAAAAAAAAAACkBAAAZHJzL2Rvd25yZXYueG1sUEsFBgAAAAAE&#10;AAQA8wAAALIFAAAAAA==&#10;" fillcolor="white [3201]" stroked="f" strokeweight=".5pt">
                      <v:textbox>
                        <w:txbxContent>
                          <w:p w14:paraId="5CA57462" w14:textId="77777777" w:rsidR="00695C51" w:rsidRPr="00E04D1D" w:rsidRDefault="00695C51" w:rsidP="00695C5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Leelawadee" w:hAnsi="Leelawadee" w:cs="Leelawadee" w:hint="cs"/>
                                <w:sz w:val="20"/>
                                <w:szCs w:val="20"/>
                              </w:rPr>
                            </w:pPr>
                            <w:r w:rsidRPr="00E04D1D">
                              <w:rPr>
                                <w:rFonts w:ascii="Leelawadee" w:hAnsi="Leelawadee" w:cs="Leelawadee" w:hint="cs"/>
                                <w:color w:val="000000"/>
                                <w:sz w:val="20"/>
                                <w:szCs w:val="20"/>
                              </w:rPr>
                              <w:t xml:space="preserve">Ahora bien, ningún comprador representa más del 10% de los ingresos, adicionalmente, la producción personalizada de empaques es una fortaleza ante los competidores, </w:t>
                            </w:r>
                            <w:proofErr w:type="spellStart"/>
                            <w:r w:rsidRPr="00E04D1D">
                              <w:rPr>
                                <w:rFonts w:ascii="Leelawadee" w:hAnsi="Leelawadee" w:cs="Leelawadee" w:hint="cs"/>
                                <w:color w:val="000000"/>
                                <w:sz w:val="20"/>
                                <w:szCs w:val="20"/>
                              </w:rPr>
                              <w:t>mas</w:t>
                            </w:r>
                            <w:proofErr w:type="spellEnd"/>
                            <w:r w:rsidRPr="00E04D1D">
                              <w:rPr>
                                <w:rFonts w:ascii="Leelawadee" w:hAnsi="Leelawadee" w:cs="Leelawadee" w:hint="cs"/>
                                <w:color w:val="000000"/>
                                <w:sz w:val="20"/>
                                <w:szCs w:val="20"/>
                              </w:rPr>
                              <w:t xml:space="preserve"> considerando la producción de pulpa y papel, al no ser un producto de exportación y poco diferenciado, se enfrenta a una mayor competencia y menor poder de negociación. </w:t>
                            </w:r>
                          </w:p>
                          <w:p w14:paraId="526ECB90" w14:textId="77777777" w:rsidR="00695C51" w:rsidRPr="00E04D1D" w:rsidRDefault="00695C51" w:rsidP="00695C51">
                            <w:pPr>
                              <w:jc w:val="both"/>
                              <w:rPr>
                                <w:rFonts w:ascii="Leelawadee" w:hAnsi="Leelawadee" w:cs="Leelawadee" w:hint="cs"/>
                                <w:sz w:val="20"/>
                                <w:szCs w:val="20"/>
                              </w:rPr>
                            </w:pPr>
                            <w:r w:rsidRPr="00E04D1D">
                              <w:rPr>
                                <w:rFonts w:ascii="Leelawadee" w:hAnsi="Leelawadee" w:cs="Leelawadee" w:hint="cs"/>
                                <w:sz w:val="20"/>
                                <w:szCs w:val="20"/>
                              </w:rPr>
                              <w:br/>
                            </w:r>
                            <w:r w:rsidRPr="00E04D1D">
                              <w:rPr>
                                <w:rFonts w:ascii="Leelawadee" w:hAnsi="Leelawadee" w:cs="Leelawadee" w:hint="cs"/>
                                <w:color w:val="000000"/>
                                <w:sz w:val="20"/>
                                <w:szCs w:val="20"/>
                              </w:rPr>
                              <w:t xml:space="preserve">Finalmente, la empresa posee ventajas ante nuevos competidores, como el </w:t>
                            </w:r>
                            <w:r w:rsidRPr="00E04D1D">
                              <w:rPr>
                                <w:rFonts w:ascii="Leelawadee" w:hAnsi="Leelawadee" w:cs="Leelawadee" w:hint="cs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know-how</w:t>
                            </w:r>
                            <w:r w:rsidRPr="00E04D1D">
                              <w:rPr>
                                <w:rFonts w:ascii="Leelawadee" w:hAnsi="Leelawadee" w:cs="Leelawadee" w:hint="cs"/>
                                <w:color w:val="000000"/>
                                <w:sz w:val="20"/>
                                <w:szCs w:val="20"/>
                              </w:rPr>
                              <w:t xml:space="preserve"> del Grupo Smurfit-Kappa, el potencial de producción a escala y la necesidad de inversión de capital en industria manufacturera.</w:t>
                            </w:r>
                          </w:p>
                          <w:p w14:paraId="7F8425BB" w14:textId="77777777" w:rsidR="00695C51" w:rsidRPr="00CA4BD0" w:rsidRDefault="00695C51" w:rsidP="00695C5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Leelawadee" w:hAnsi="Leelawadee" w:cs="Leelawadee" w:hint="cs"/>
                                <w:sz w:val="20"/>
                                <w:szCs w:val="20"/>
                              </w:rPr>
                            </w:pPr>
                          </w:p>
                          <w:p w14:paraId="0BA86FA6" w14:textId="77777777" w:rsidR="00695C51" w:rsidRPr="00CA4BD0" w:rsidRDefault="00695C51" w:rsidP="00695C51">
                            <w:pPr>
                              <w:rPr>
                                <w:rFonts w:ascii="Leelawadee" w:hAnsi="Leelawadee" w:cs="Leelawadee" w:hint="cs"/>
                                <w:sz w:val="20"/>
                                <w:szCs w:val="20"/>
                              </w:rPr>
                            </w:pPr>
                          </w:p>
                          <w:p w14:paraId="57CFD865" w14:textId="77777777" w:rsidR="00695C51" w:rsidRPr="00CA4BD0" w:rsidRDefault="00695C51" w:rsidP="00695C51">
                            <w:pPr>
                              <w:rPr>
                                <w:rFonts w:ascii="Leelawadee" w:hAnsi="Leelawadee" w:cs="Leelawadee" w:hint="c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767B">
              <w:rPr>
                <w:rFonts w:ascii="Leelawadee" w:hAnsi="Leelawadee" w:cs="Leelawadee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AEC626A" wp14:editId="41EA1824">
                  <wp:extent cx="2587516" cy="1603375"/>
                  <wp:effectExtent l="19050" t="19050" r="22860" b="1587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502" cy="1614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7A8" w:rsidRPr="00DC767B" w14:paraId="4BC29E0A" w14:textId="77777777" w:rsidTr="00C027A8">
        <w:trPr>
          <w:trHeight w:val="323"/>
        </w:trPr>
        <w:tc>
          <w:tcPr>
            <w:tcW w:w="11341" w:type="dxa"/>
            <w:gridSpan w:val="7"/>
          </w:tcPr>
          <w:p w14:paraId="253A61B2" w14:textId="3E6F7C77" w:rsidR="00C027A8" w:rsidRPr="007D4CC6" w:rsidRDefault="00C027A8" w:rsidP="00427754">
            <w:pPr>
              <w:jc w:val="both"/>
              <w:rPr>
                <w:rFonts w:ascii="Leelawadee" w:hAnsi="Leelawadee" w:cs="Leelawadee"/>
                <w:sz w:val="22"/>
                <w:szCs w:val="22"/>
              </w:rPr>
            </w:pPr>
            <w:r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lastRenderedPageBreak/>
              <w:t>Análisis de</w:t>
            </w:r>
            <w:r w:rsidR="00427754"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>l Gobierno Corporativo</w:t>
            </w:r>
            <w:r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 xml:space="preserve"> </w:t>
            </w:r>
          </w:p>
        </w:tc>
      </w:tr>
      <w:tr w:rsidR="00C027A8" w:rsidRPr="00DC767B" w14:paraId="37FE2FBD" w14:textId="77777777" w:rsidTr="007D4CC6">
        <w:trPr>
          <w:trHeight w:val="4486"/>
        </w:trPr>
        <w:tc>
          <w:tcPr>
            <w:tcW w:w="11341" w:type="dxa"/>
            <w:gridSpan w:val="7"/>
          </w:tcPr>
          <w:p w14:paraId="2FE21F8F" w14:textId="77777777" w:rsidR="00C027A8" w:rsidRPr="007D4CC6" w:rsidRDefault="00C027A8" w:rsidP="00695C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</w:p>
          <w:p w14:paraId="0BEBFE3E" w14:textId="778537B5" w:rsidR="00695C51" w:rsidRPr="00695C51" w:rsidRDefault="00695C51" w:rsidP="00695C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  <w:r w:rsidRPr="00960CEE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La gestión de la gerencia de Cartón de Colombia y las decisiones de inversión de Smurfit-Kappa, han mantenido el incremento en las ventas y sus inversiones en capital demuestran retorno, adicionalmente, saben afrontar factores exógenos que han podido afectar financieramente</w:t>
            </w:r>
            <w:r>
              <w:rPr>
                <w:rFonts w:ascii="Leelawadee" w:hAnsi="Leelawadee" w:cs="Leelawadee"/>
                <w:color w:val="000000"/>
                <w:sz w:val="20"/>
                <w:szCs w:val="20"/>
              </w:rPr>
              <w:t>.</w:t>
            </w:r>
          </w:p>
          <w:p w14:paraId="02089EFB" w14:textId="77777777" w:rsidR="007D4CC6" w:rsidRPr="007D4CC6" w:rsidRDefault="007D4CC6" w:rsidP="007D4CC6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</w:p>
          <w:p w14:paraId="591CFA96" w14:textId="4E1E78AF" w:rsidR="00695C51" w:rsidRPr="00695C51" w:rsidRDefault="00695C51" w:rsidP="00695C51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  <w:r w:rsidRPr="00960CEE">
              <w:rPr>
                <w:rFonts w:ascii="Leelawadee" w:hAnsi="Leelawadee" w:cs="Leelawadee" w:hint="cs"/>
                <w:b/>
                <w:bCs/>
                <w:color w:val="000000"/>
                <w:sz w:val="20"/>
                <w:szCs w:val="20"/>
              </w:rPr>
              <w:t xml:space="preserve">Anthony Smurfit (CEO): </w:t>
            </w:r>
            <w:r w:rsidRPr="00960CEE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Con más de 30 años de experiencia trabajando en Smurfit-Kappa, como director del grupo (1989-1999), Jefe Ejecutivo de Smurfit en Europa (1999-2002), director de Operaciones (2002-2015) y finalmente como Director Ejecutivo del grupo en 2015. Anthony Smurfit se desempeña como miembro suplente de la junta directiva de Cartón de Colombia y establece el nivel de inversión en Colombia.</w:t>
            </w:r>
          </w:p>
          <w:p w14:paraId="15BBE63F" w14:textId="77777777" w:rsidR="00695C51" w:rsidRPr="00695C51" w:rsidRDefault="00695C51" w:rsidP="00695C5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</w:p>
          <w:p w14:paraId="2AB16EA1" w14:textId="2C856D39" w:rsidR="00695C51" w:rsidRDefault="00695C51" w:rsidP="00695C51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  <w:r w:rsidRPr="00960CEE">
              <w:rPr>
                <w:rFonts w:ascii="Leelawadee" w:hAnsi="Leelawadee" w:cs="Leelawadee" w:hint="cs"/>
                <w:b/>
                <w:bCs/>
                <w:color w:val="000000"/>
                <w:sz w:val="20"/>
                <w:szCs w:val="20"/>
              </w:rPr>
              <w:t>Álvaro José Henao:</w:t>
            </w:r>
            <w:r w:rsidRPr="00960CEE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Presidente de Cartón de Colombia desde 2013. Se ha desempeñado como administrador financiero y de recursos humanos en </w:t>
            </w:r>
            <w:r w:rsidRPr="00960CEE">
              <w:rPr>
                <w:rFonts w:ascii="Leelawadee" w:hAnsi="Leelawadee" w:cs="Leelawadee"/>
                <w:color w:val="000000"/>
                <w:sz w:val="20"/>
                <w:szCs w:val="20"/>
              </w:rPr>
              <w:t>Latinoamérica</w:t>
            </w:r>
            <w:r w:rsidRPr="00960CEE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, además, ha gerenciado compañías del grupo Smurfit en Colombia</w:t>
            </w:r>
            <w:r>
              <w:rPr>
                <w:rFonts w:ascii="Leelawadee" w:hAnsi="Leelawadee" w:cs="Leelawadee"/>
                <w:color w:val="000000"/>
                <w:sz w:val="20"/>
                <w:szCs w:val="20"/>
              </w:rPr>
              <w:t>.</w:t>
            </w:r>
          </w:p>
          <w:p w14:paraId="208857CD" w14:textId="77777777" w:rsidR="00695C51" w:rsidRPr="00695C51" w:rsidRDefault="00695C51" w:rsidP="00695C51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</w:p>
          <w:p w14:paraId="50EE55DB" w14:textId="647CBDC0" w:rsidR="00695C51" w:rsidRDefault="00695C51" w:rsidP="00695C51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  <w:r w:rsidRPr="00960CEE">
              <w:rPr>
                <w:rFonts w:ascii="Leelawadee" w:hAnsi="Leelawadee" w:cs="Leelawadee" w:hint="cs"/>
                <w:b/>
                <w:bCs/>
                <w:color w:val="000000"/>
                <w:sz w:val="20"/>
                <w:szCs w:val="20"/>
              </w:rPr>
              <w:t>Juan Guillermo Castañeda:</w:t>
            </w:r>
            <w:r w:rsidRPr="00960CEE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Actual CEO de Smurfit-Kappa para América, cuenta con una amplia experiencia en la compañía. Fue Director Financiero de Cartón de Colombia (1994-1997), estuvo a cargo de la vicepresidencia financiera (1997-2008), vicepresidencia de la División de empaquetado (2008-2010) y vicepresidencia financiera, de recursos humanos y administración (2010).</w:t>
            </w:r>
          </w:p>
          <w:p w14:paraId="657ED782" w14:textId="77777777" w:rsidR="007D4CC6" w:rsidRDefault="007D4CC6" w:rsidP="00695C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</w:p>
          <w:p w14:paraId="481B4CE3" w14:textId="18DEF304" w:rsidR="00695C51" w:rsidRDefault="00695C51" w:rsidP="00695C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  <w:r w:rsidRPr="00960CEE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>Finalmente, su llegada a la gerencia concuerda con el incremento de las ventas y aumento del CAPEX</w:t>
            </w:r>
            <w:r w:rsidR="00F26BE7">
              <w:rPr>
                <w:rFonts w:ascii="Leelawadee" w:hAnsi="Leelawadee" w:cs="Leelawadee"/>
                <w:color w:val="000000"/>
                <w:sz w:val="20"/>
                <w:szCs w:val="20"/>
              </w:rPr>
              <w:t>.</w:t>
            </w:r>
          </w:p>
          <w:p w14:paraId="1CCE78D4" w14:textId="6F91D167" w:rsidR="00695C51" w:rsidRPr="00DC767B" w:rsidRDefault="00695C51" w:rsidP="00695C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</w:p>
        </w:tc>
      </w:tr>
      <w:tr w:rsidR="00200610" w:rsidRPr="00DC767B" w14:paraId="5CE9F6F7" w14:textId="77777777" w:rsidTr="00931ED6">
        <w:trPr>
          <w:trHeight w:val="274"/>
        </w:trPr>
        <w:tc>
          <w:tcPr>
            <w:tcW w:w="11341" w:type="dxa"/>
            <w:gridSpan w:val="7"/>
          </w:tcPr>
          <w:p w14:paraId="365102EC" w14:textId="564C95B4" w:rsidR="00200610" w:rsidRPr="007D4CC6" w:rsidRDefault="00200610" w:rsidP="00F83D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2"/>
                <w:szCs w:val="22"/>
              </w:rPr>
            </w:pPr>
            <w:r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 xml:space="preserve">Análisis de la </w:t>
            </w:r>
            <w:r w:rsidR="00C50293"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 xml:space="preserve">situación financiera de la </w:t>
            </w:r>
            <w:r w:rsidRPr="007D4CC6">
              <w:rPr>
                <w:rFonts w:ascii="Leelawadee" w:hAnsi="Leelawadee" w:cs="Leelawadee" w:hint="cs"/>
                <w:b/>
                <w:smallCaps/>
                <w:sz w:val="22"/>
                <w:szCs w:val="22"/>
              </w:rPr>
              <w:t>empresa</w:t>
            </w:r>
          </w:p>
        </w:tc>
      </w:tr>
      <w:tr w:rsidR="00200610" w:rsidRPr="00DC767B" w14:paraId="16281ABA" w14:textId="77777777" w:rsidTr="007D4CC6">
        <w:trPr>
          <w:trHeight w:val="557"/>
        </w:trPr>
        <w:tc>
          <w:tcPr>
            <w:tcW w:w="11341" w:type="dxa"/>
            <w:gridSpan w:val="7"/>
          </w:tcPr>
          <w:p w14:paraId="64DFE1F4" w14:textId="77777777" w:rsidR="007D4CC6" w:rsidRDefault="00F83DEB" w:rsidP="007D4CC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  <w:r w:rsidRPr="007D4CC6">
              <w:rPr>
                <w:rFonts w:ascii="Leelawadee" w:hAnsi="Leelawadee" w:cs="Leelawadee" w:hint="cs"/>
                <w:color w:val="000000"/>
                <w:sz w:val="20"/>
                <w:szCs w:val="20"/>
              </w:rPr>
              <w:t xml:space="preserve"> </w:t>
            </w:r>
          </w:p>
          <w:p w14:paraId="31E88D08" w14:textId="00129B63" w:rsidR="007D4CC6" w:rsidRPr="007D4CC6" w:rsidRDefault="007D4CC6" w:rsidP="007D4CC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  <w:r w:rsidRPr="00E87C83">
              <w:rPr>
                <w:rFonts w:ascii="Leelawadee" w:hAnsi="Leelawadee" w:cs="Leelawadee" w:hint="cs"/>
                <w:sz w:val="20"/>
                <w:szCs w:val="20"/>
              </w:rPr>
              <w:t>Cartón de Colombia presentó una desmejora de su rentabilidad (2018-2019) como lo evidencia el ROA y el ROE, adicionalmente, su FCDR disminuyó, comprometiendo la sostenibilidad a futuro. Por esto, no se considera oportuno adquirir participación accionaria equivalente el 10% de la misma en una ventana de inversión no superior a 12 meses.</w:t>
            </w:r>
          </w:p>
          <w:p w14:paraId="41774C44" w14:textId="38510FFB" w:rsidR="007D4CC6" w:rsidRPr="00E87C83" w:rsidRDefault="007D4CC6" w:rsidP="007D4CC6">
            <w:pPr>
              <w:pStyle w:val="NormalWeb"/>
              <w:spacing w:before="240" w:beforeAutospacing="0" w:after="240" w:afterAutospacing="0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00E87C83">
              <w:rPr>
                <w:rFonts w:ascii="Leelawadee" w:hAnsi="Leelawadee" w:cs="Leelawadee" w:hint="cs"/>
                <w:sz w:val="20"/>
                <w:szCs w:val="20"/>
              </w:rPr>
              <w:t>Si bien la compañía presentó un aumentó en sus ventas de 332.841 a 363.623 miles de dólares (8,6%), el costo de ventas y el gasto operacional aumentaron en mayor medida (9,6% y 18,7% respectivamente)</w:t>
            </w:r>
            <w:r w:rsidRPr="00E87C83">
              <w:rPr>
                <w:rFonts w:ascii="Leelawadee" w:hAnsi="Leelawadee" w:cs="Leelawadee" w:hint="cs"/>
                <w:sz w:val="20"/>
                <w:szCs w:val="20"/>
                <w:shd w:val="clear" w:color="auto" w:fill="FFFFFF"/>
              </w:rPr>
              <w:t xml:space="preserve">, debido a la devaluación del peso colombiano, en consecuencia, el EBITDA pasa de 56.026 a 54.663 miles de dólares, lo que equivale a una caída del margen EBITDA (16,4%-14,7%), cabe resaltar, dicho comportamiento se dio en años pasados (2015-2017). </w:t>
            </w:r>
            <w:r w:rsidRPr="00E87C83">
              <w:rPr>
                <w:rFonts w:ascii="Leelawadee" w:hAnsi="Leelawadee" w:cs="Leelawadee" w:hint="cs"/>
                <w:sz w:val="20"/>
                <w:szCs w:val="20"/>
              </w:rPr>
              <w:t>Adicionalmente, el crecimiento de cuentas como</w:t>
            </w:r>
            <w:r w:rsidR="00F26BE7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E87C83">
              <w:rPr>
                <w:rFonts w:ascii="Leelawadee" w:hAnsi="Leelawadee" w:cs="Leelawadee" w:hint="cs"/>
                <w:sz w:val="20"/>
                <w:szCs w:val="20"/>
              </w:rPr>
              <w:t>amortización y depreciación (6,2%), gasto de intereses (11,4%) y provisión de impuesto (10.223,1%), junto con la disminución de ingresos no operacionales como</w:t>
            </w:r>
            <w:r w:rsidR="00F26BE7">
              <w:rPr>
                <w:rFonts w:ascii="Leelawadee" w:hAnsi="Leelawadee" w:cs="Leelawadee"/>
                <w:sz w:val="20"/>
                <w:szCs w:val="20"/>
              </w:rPr>
              <w:t>:</w:t>
            </w:r>
            <w:r w:rsidRPr="00E87C83">
              <w:rPr>
                <w:rFonts w:ascii="Leelawadee" w:hAnsi="Leelawadee" w:cs="Leelawadee" w:hint="cs"/>
                <w:sz w:val="20"/>
                <w:szCs w:val="20"/>
              </w:rPr>
              <w:t xml:space="preserve"> ingresos financieros (-22,4%) y utilidad en venta de activos (-19,3%), ocasionaron el decrecimiento de UNE (-31,1%), por ende, la caída del ROS (12,2%-7,7%). A pesar de la mejora del RAT (0,53x-0,54x), a causa del incremento del total activo (5,9%), que se vio compensado por el incremento de la venta neta (8,6%), esto resultó en un menor ROA (6,5%-4,2%), de </w:t>
            </w:r>
            <w:r w:rsidRPr="00E87C83">
              <w:rPr>
                <w:rFonts w:ascii="Leelawadee" w:hAnsi="Leelawadee" w:cs="Leelawadee"/>
                <w:sz w:val="20"/>
                <w:szCs w:val="20"/>
              </w:rPr>
              <w:t>igual manera</w:t>
            </w:r>
            <w:r w:rsidRPr="00E87C83">
              <w:rPr>
                <w:rFonts w:ascii="Leelawadee" w:hAnsi="Leelawadee" w:cs="Leelawadee" w:hint="cs"/>
                <w:sz w:val="20"/>
                <w:szCs w:val="20"/>
              </w:rPr>
              <w:t xml:space="preserve"> sucede de 2016-2017.</w:t>
            </w:r>
          </w:p>
          <w:p w14:paraId="18B596CF" w14:textId="6063169B" w:rsidR="007D4CC6" w:rsidRPr="00E87C83" w:rsidRDefault="007D4CC6" w:rsidP="007D4CC6">
            <w:pPr>
              <w:pStyle w:val="NormalWeb"/>
              <w:spacing w:before="240" w:beforeAutospacing="0" w:after="240" w:afterAutospacing="0"/>
              <w:jc w:val="both"/>
              <w:rPr>
                <w:rFonts w:ascii="Leelawadee" w:hAnsi="Leelawadee" w:cs="Leelawadee"/>
                <w:sz w:val="20"/>
                <w:szCs w:val="20"/>
              </w:rPr>
            </w:pPr>
            <w:r w:rsidRPr="00E87C83">
              <w:rPr>
                <w:rFonts w:ascii="Leelawadee" w:hAnsi="Leelawadee" w:cs="Leelawadee" w:hint="cs"/>
                <w:sz w:val="20"/>
                <w:szCs w:val="20"/>
              </w:rPr>
              <w:t xml:space="preserve">Ahora bien, el multiplicador de capital subió (1,32x-1,36x), atribuible al mayor aumento del activo (5,9%) en comparación al aumento del patrimonio (2,2%), esto evidenciado en el incremento del pasivo (17,7%), reflejando un mayor endeudamiento proveniente de la deuda corriente. Pese </w:t>
            </w:r>
            <w:r w:rsidR="0049304F">
              <w:rPr>
                <w:rFonts w:ascii="Leelawadee" w:hAnsi="Leelawadee" w:cs="Leelawadee"/>
                <w:sz w:val="20"/>
                <w:szCs w:val="20"/>
              </w:rPr>
              <w:t>el incremento</w:t>
            </w:r>
            <w:r w:rsidRPr="00E87C83">
              <w:rPr>
                <w:rFonts w:ascii="Leelawadee" w:hAnsi="Leelawadee" w:cs="Leelawadee" w:hint="cs"/>
                <w:sz w:val="20"/>
                <w:szCs w:val="20"/>
              </w:rPr>
              <w:t xml:space="preserve"> del cubrimiento de intereses (15,17x-16,72x), la capacidad de pago no mejora, ya que el FCL disminuye (57,8%) debido al incremento en la inversión a capital de trabajo (114,2%), a raíz del aumento en la inversión a cartera que se evidencia con el crecimiento de los DPC (55-59 días), de igual manera, pero en menor medida, aumenta la inversión en inventario (6,6%), por otro lado, se incrementó la deuda con los proveedores (19,1%) reflejado en el alza de los DPP (65-71 días), esto ocasionando la disminución del CCE (21-18 días) y el CAPEX asciende de 9.545 a 24.269 miles de dólares. Sin embargo, el ROFA disminuyó (13,0%-8,8%), no obstante, la disminución del gasto de interés (-11,4%), los dividendos pagados aumentan (38,3%), resultando en un menor FCDR, que pasa de 31.349 a 2.851 miles de dólares. </w:t>
            </w:r>
            <w:r w:rsidRPr="00E87C83">
              <w:rPr>
                <w:rFonts w:ascii="Leelawadee" w:hAnsi="Leelawadee" w:cs="Leelawadee"/>
                <w:sz w:val="20"/>
                <w:szCs w:val="20"/>
              </w:rPr>
              <w:t>Aun</w:t>
            </w:r>
            <w:r w:rsidRPr="00E87C83">
              <w:rPr>
                <w:rFonts w:ascii="Leelawadee" w:hAnsi="Leelawadee" w:cs="Leelawadee" w:hint="cs"/>
                <w:sz w:val="20"/>
                <w:szCs w:val="20"/>
              </w:rPr>
              <w:t xml:space="preserve"> cuando el apalancamiento total se mantiene favorable (0,32x-0,36x), el aumento del NEF (0,61x-0,89x) demuestra mayor crecimiento del endeudamiento en comparación al incremento del ingreso, lo cual refleja una desmejora de la sostenibilidad para solventar la deuda.</w:t>
            </w:r>
          </w:p>
          <w:p w14:paraId="11055F5D" w14:textId="31F185FD" w:rsidR="007D4CC6" w:rsidRPr="007D4CC6" w:rsidRDefault="007D4CC6" w:rsidP="007D4CC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  <w:r w:rsidRPr="00E87C83">
              <w:rPr>
                <w:rFonts w:ascii="Leelawadee" w:hAnsi="Leelawadee" w:cs="Leelawadee" w:hint="cs"/>
                <w:sz w:val="20"/>
                <w:szCs w:val="20"/>
              </w:rPr>
              <w:t xml:space="preserve">Finalmente, a pesar del aumento del pago de dividendos, la sostenibilidad se ha visto comprometida, como se demuestra con la disminución de FCDR/EBITDA (56,0%-5,2%), adicionalmente, la rentabilidad ha desmejorado como se evidencia en caída del ROE (8,5%-5,7%) y su capacidad tanto de pago como de endeudamiento se han deteriorado. Teniendo en cuenta la coyuntura actual y planes de expansión de la empresa, que ocasionan la caída de los ingresos como el incremento de los gastos, </w:t>
            </w:r>
            <w:r w:rsidR="003B20BE">
              <w:rPr>
                <w:rFonts w:ascii="Leelawadee" w:hAnsi="Leelawadee" w:cs="Leelawadee"/>
                <w:sz w:val="20"/>
                <w:szCs w:val="20"/>
              </w:rPr>
              <w:t>adicional</w:t>
            </w:r>
            <w:r w:rsidRPr="00E87C83">
              <w:rPr>
                <w:rFonts w:ascii="Leelawadee" w:hAnsi="Leelawadee" w:cs="Leelawadee" w:hint="cs"/>
                <w:sz w:val="20"/>
                <w:szCs w:val="20"/>
              </w:rPr>
              <w:t xml:space="preserve"> </w:t>
            </w:r>
            <w:r w:rsidRPr="00E87C83">
              <w:rPr>
                <w:rFonts w:ascii="Leelawadee" w:hAnsi="Leelawadee" w:cs="Leelawadee" w:hint="cs"/>
                <w:sz w:val="20"/>
                <w:szCs w:val="20"/>
              </w:rPr>
              <w:lastRenderedPageBreak/>
              <w:t>a la inestabilidad del flujo de caja y baja bursatilidad de las acciones de la empresa, no se considera oportuno adquirir participación accionaria en los próximos 12 meses.</w:t>
            </w:r>
          </w:p>
        </w:tc>
      </w:tr>
      <w:tr w:rsidR="00742980" w:rsidRPr="00DC767B" w14:paraId="542B13AF" w14:textId="77777777" w:rsidTr="00931ED6">
        <w:trPr>
          <w:trHeight w:val="349"/>
        </w:trPr>
        <w:tc>
          <w:tcPr>
            <w:tcW w:w="5670" w:type="dxa"/>
            <w:gridSpan w:val="2"/>
            <w:vAlign w:val="center"/>
          </w:tcPr>
          <w:p w14:paraId="1B95FDEE" w14:textId="53700A51" w:rsidR="00931ED6" w:rsidRPr="00DC767B" w:rsidRDefault="007D4CC6" w:rsidP="00931ED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Leelawadee" w:hAnsi="Leelawadee" w:cs="Leelawadee"/>
                <w:b/>
                <w:small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Leelawadee" w:hAnsi="Leelawadee" w:cs="Leelawadee"/>
                <w:b/>
                <w:smallCaps/>
                <w:color w:val="000000"/>
                <w:sz w:val="20"/>
                <w:szCs w:val="20"/>
                <w:lang w:val="en-US"/>
              </w:rPr>
              <w:lastRenderedPageBreak/>
              <w:t>DuPont</w:t>
            </w:r>
          </w:p>
        </w:tc>
        <w:tc>
          <w:tcPr>
            <w:tcW w:w="5671" w:type="dxa"/>
            <w:gridSpan w:val="5"/>
            <w:vAlign w:val="center"/>
          </w:tcPr>
          <w:p w14:paraId="643B5B51" w14:textId="76658817" w:rsidR="00931ED6" w:rsidRPr="007D4CC6" w:rsidRDefault="007D4CC6" w:rsidP="00931ED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Leelawadee" w:hAnsi="Leelawadee" w:cs="Leelawadee"/>
                <w:b/>
                <w:smallCaps/>
                <w:color w:val="000000"/>
                <w:sz w:val="20"/>
                <w:szCs w:val="20"/>
              </w:rPr>
            </w:pPr>
            <w:r w:rsidRPr="007D4CC6">
              <w:rPr>
                <w:rFonts w:ascii="Leelawadee" w:hAnsi="Leelawadee" w:cs="Leelawadee"/>
                <w:b/>
                <w:smallCaps/>
                <w:color w:val="000000"/>
                <w:sz w:val="20"/>
                <w:szCs w:val="20"/>
              </w:rPr>
              <w:t>Flujo de Caja</w:t>
            </w:r>
          </w:p>
        </w:tc>
      </w:tr>
      <w:tr w:rsidR="00742980" w:rsidRPr="00DC767B" w14:paraId="17510A60" w14:textId="77777777" w:rsidTr="00931ED6">
        <w:trPr>
          <w:trHeight w:val="3455"/>
        </w:trPr>
        <w:tc>
          <w:tcPr>
            <w:tcW w:w="5670" w:type="dxa"/>
            <w:gridSpan w:val="2"/>
          </w:tcPr>
          <w:p w14:paraId="139EF193" w14:textId="77777777" w:rsidR="00931ED6" w:rsidRPr="00DC767B" w:rsidRDefault="00931ED6" w:rsidP="00931E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  <w:lang w:val="en-US"/>
              </w:rPr>
            </w:pPr>
          </w:p>
          <w:p w14:paraId="2F289D01" w14:textId="081901DB" w:rsidR="00742980" w:rsidRPr="00DC767B" w:rsidRDefault="007D4CC6" w:rsidP="00931E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68DD77" wp14:editId="4C04ECD4">
                  <wp:extent cx="3502025" cy="2448910"/>
                  <wp:effectExtent l="0" t="0" r="3175" b="8890"/>
                  <wp:docPr id="18" name="Gráfico 18" descr="&#10;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A61966-6611-441F-B43B-7ABE36131B41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671" w:type="dxa"/>
            <w:gridSpan w:val="5"/>
          </w:tcPr>
          <w:p w14:paraId="441BF7BE" w14:textId="77777777" w:rsidR="00931ED6" w:rsidRPr="00DC767B" w:rsidRDefault="00931ED6" w:rsidP="00931E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</w:p>
          <w:p w14:paraId="7FFC1FB1" w14:textId="3025C789" w:rsidR="00742980" w:rsidRPr="00DC767B" w:rsidRDefault="007D4CC6" w:rsidP="007D4CC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b/>
                <w:color w:val="000000"/>
                <w:sz w:val="20"/>
                <w:szCs w:val="20"/>
              </w:rPr>
            </w:pPr>
            <w:r>
              <w:rPr>
                <w:rFonts w:ascii="Leelawadee" w:hAnsi="Leelawadee" w:cs="Leelawadee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41C3B02" wp14:editId="4A108109">
                  <wp:extent cx="3152775" cy="2375338"/>
                  <wp:effectExtent l="0" t="0" r="0" b="6350"/>
                  <wp:docPr id="19" name="Gráfico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FB5BB5-2FA2-480A-999A-24C922B7BF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0658CA2E" w14:textId="35B68640" w:rsidR="00742980" w:rsidRPr="00DC767B" w:rsidRDefault="00742980" w:rsidP="00931E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eelawadee" w:hAnsi="Leelawadee" w:cs="Leelawadee"/>
                <w:color w:val="000000"/>
                <w:sz w:val="20"/>
                <w:szCs w:val="20"/>
              </w:rPr>
            </w:pPr>
          </w:p>
        </w:tc>
      </w:tr>
    </w:tbl>
    <w:p w14:paraId="110E7E96" w14:textId="77777777" w:rsidR="007D4CC6" w:rsidRPr="00DC767B" w:rsidRDefault="007D4CC6" w:rsidP="00931ED6">
      <w:pPr>
        <w:jc w:val="both"/>
        <w:rPr>
          <w:rFonts w:ascii="Leelawadee" w:hAnsi="Leelawadee" w:cs="Leelawadee"/>
          <w:sz w:val="20"/>
          <w:szCs w:val="20"/>
        </w:rPr>
      </w:pPr>
    </w:p>
    <w:sectPr w:rsidR="007D4CC6" w:rsidRPr="00DC767B" w:rsidSect="00427754">
      <w:headerReference w:type="default" r:id="rId12"/>
      <w:footerReference w:type="even" r:id="rId13"/>
      <w:footerReference w:type="default" r:id="rId14"/>
      <w:pgSz w:w="12240" w:h="15840"/>
      <w:pgMar w:top="1247" w:right="1797" w:bottom="1440" w:left="1797" w:header="113" w:footer="14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E39B" w14:textId="77777777" w:rsidR="000F18EE" w:rsidRDefault="000F18EE">
      <w:r>
        <w:separator/>
      </w:r>
    </w:p>
  </w:endnote>
  <w:endnote w:type="continuationSeparator" w:id="0">
    <w:p w14:paraId="1FB192B9" w14:textId="77777777" w:rsidR="000F18EE" w:rsidRDefault="000F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3AD7D" w14:textId="77777777" w:rsidR="00BC0873" w:rsidRDefault="00547511" w:rsidP="00416A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C08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235D17" w14:textId="77777777" w:rsidR="00BC0873" w:rsidRDefault="00BC0873" w:rsidP="000619C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363688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45411C75" w14:textId="0B2BB7DD" w:rsidR="00931ED6" w:rsidRPr="00931ED6" w:rsidRDefault="00931ED6">
        <w:pPr>
          <w:pStyle w:val="Piedepgina"/>
          <w:jc w:val="right"/>
          <w:rPr>
            <w:rFonts w:asciiTheme="minorHAnsi" w:hAnsiTheme="minorHAnsi"/>
            <w:sz w:val="20"/>
          </w:rPr>
        </w:pPr>
        <w:r w:rsidRPr="00931ED6">
          <w:rPr>
            <w:rFonts w:asciiTheme="minorHAnsi" w:hAnsiTheme="minorHAnsi"/>
            <w:sz w:val="20"/>
          </w:rPr>
          <w:fldChar w:fldCharType="begin"/>
        </w:r>
        <w:r w:rsidRPr="00931ED6">
          <w:rPr>
            <w:rFonts w:asciiTheme="minorHAnsi" w:hAnsiTheme="minorHAnsi"/>
            <w:sz w:val="20"/>
          </w:rPr>
          <w:instrText xml:space="preserve"> PAGE   \* MERGEFORMAT </w:instrText>
        </w:r>
        <w:r w:rsidRPr="00931ED6">
          <w:rPr>
            <w:rFonts w:asciiTheme="minorHAnsi" w:hAnsiTheme="minorHAnsi"/>
            <w:sz w:val="20"/>
          </w:rPr>
          <w:fldChar w:fldCharType="separate"/>
        </w:r>
        <w:r w:rsidR="00A03FC9">
          <w:rPr>
            <w:rFonts w:asciiTheme="minorHAnsi" w:hAnsiTheme="minorHAnsi"/>
            <w:noProof/>
            <w:sz w:val="20"/>
          </w:rPr>
          <w:t>1</w:t>
        </w:r>
        <w:r w:rsidRPr="00931ED6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6DEDA0D9" w14:textId="77777777" w:rsidR="00F807EC" w:rsidRPr="00E747EE" w:rsidRDefault="00F807EC">
    <w:pPr>
      <w:pStyle w:val="Piedepgin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6A57B" w14:textId="77777777" w:rsidR="000F18EE" w:rsidRDefault="000F18EE">
      <w:r>
        <w:separator/>
      </w:r>
    </w:p>
  </w:footnote>
  <w:footnote w:type="continuationSeparator" w:id="0">
    <w:p w14:paraId="72C01EEA" w14:textId="77777777" w:rsidR="000F18EE" w:rsidRDefault="000F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638B" w14:textId="77777777" w:rsidR="00BC0873" w:rsidRPr="00DC767B" w:rsidRDefault="00BC0873" w:rsidP="00185980">
    <w:pPr>
      <w:ind w:left="-1418"/>
      <w:jc w:val="both"/>
      <w:rPr>
        <w:rFonts w:ascii="Leelawadee" w:hAnsi="Leelawadee" w:cs="Leelawadee"/>
        <w:sz w:val="22"/>
        <w:szCs w:val="22"/>
      </w:rPr>
    </w:pPr>
    <w:bookmarkStart w:id="2" w:name="OLE_LINK1"/>
    <w:r w:rsidRPr="00DC767B">
      <w:rPr>
        <w:rFonts w:ascii="Leelawadee" w:hAnsi="Leelawadee" w:cs="Leelawadee" w:hint="cs"/>
        <w:sz w:val="22"/>
        <w:szCs w:val="22"/>
      </w:rPr>
      <w:t>Universidad Externado de Colombia</w:t>
    </w:r>
  </w:p>
  <w:p w14:paraId="28FA83EB" w14:textId="77777777" w:rsidR="00BC0873" w:rsidRPr="00DC767B" w:rsidRDefault="00BC0873" w:rsidP="00185980">
    <w:pPr>
      <w:ind w:left="-1418"/>
      <w:jc w:val="both"/>
      <w:rPr>
        <w:rFonts w:ascii="Leelawadee" w:hAnsi="Leelawadee" w:cs="Leelawadee"/>
        <w:sz w:val="22"/>
        <w:szCs w:val="22"/>
      </w:rPr>
    </w:pPr>
    <w:r w:rsidRPr="00DC767B">
      <w:rPr>
        <w:rFonts w:ascii="Leelawadee" w:hAnsi="Leelawadee" w:cs="Leelawadee" w:hint="cs"/>
        <w:sz w:val="22"/>
        <w:szCs w:val="22"/>
      </w:rPr>
      <w:t>Facultad de Finanzas Gobierno y Relaciones Internacionales</w:t>
    </w:r>
    <w:bookmarkEnd w:id="2"/>
  </w:p>
  <w:p w14:paraId="2DA39F98" w14:textId="77777777" w:rsidR="00390CBB" w:rsidRPr="00DC767B" w:rsidRDefault="005416AF" w:rsidP="00185980">
    <w:pPr>
      <w:ind w:left="-1418"/>
      <w:jc w:val="both"/>
      <w:rPr>
        <w:rFonts w:ascii="Leelawadee" w:hAnsi="Leelawadee" w:cs="Leelawadee"/>
        <w:sz w:val="22"/>
        <w:szCs w:val="22"/>
      </w:rPr>
    </w:pPr>
    <w:r w:rsidRPr="00DC767B">
      <w:rPr>
        <w:rFonts w:ascii="Leelawadee" w:hAnsi="Leelawadee" w:cs="Leelawadee" w:hint="cs"/>
        <w:sz w:val="22"/>
        <w:szCs w:val="22"/>
      </w:rPr>
      <w:t xml:space="preserve">Programa </w:t>
    </w:r>
    <w:r w:rsidR="00390CBB" w:rsidRPr="00DC767B">
      <w:rPr>
        <w:rFonts w:ascii="Leelawadee" w:hAnsi="Leelawadee" w:cs="Leelawadee" w:hint="cs"/>
        <w:sz w:val="22"/>
        <w:szCs w:val="22"/>
      </w:rPr>
      <w:t>en Finanzas y Relaciones Internacionales</w:t>
    </w:r>
  </w:p>
  <w:p w14:paraId="792E6029" w14:textId="77777777" w:rsidR="00CA0C8D" w:rsidRPr="00DC767B" w:rsidRDefault="008E02EE" w:rsidP="00185980">
    <w:pPr>
      <w:ind w:left="-1418"/>
      <w:jc w:val="both"/>
      <w:rPr>
        <w:rFonts w:ascii="Leelawadee" w:hAnsi="Leelawadee" w:cs="Leelawadee"/>
        <w:sz w:val="22"/>
        <w:szCs w:val="22"/>
      </w:rPr>
    </w:pPr>
    <w:r w:rsidRPr="00DC767B">
      <w:rPr>
        <w:rFonts w:ascii="Leelawadee" w:hAnsi="Leelawadee" w:cs="Leelawadee" w:hint="cs"/>
        <w:sz w:val="22"/>
        <w:szCs w:val="22"/>
      </w:rPr>
      <w:t>Análisis Financiero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796"/>
    <w:multiLevelType w:val="hybridMultilevel"/>
    <w:tmpl w:val="247E648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62E"/>
    <w:multiLevelType w:val="hybridMultilevel"/>
    <w:tmpl w:val="A7F03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1D6F"/>
    <w:multiLevelType w:val="hybridMultilevel"/>
    <w:tmpl w:val="E29282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910EF"/>
    <w:multiLevelType w:val="hybridMultilevel"/>
    <w:tmpl w:val="4808BE42"/>
    <w:lvl w:ilvl="0" w:tplc="04E41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0F68014">
      <w:start w:val="1"/>
      <w:numFmt w:val="decimal"/>
      <w:lvlText w:val="%2."/>
      <w:lvlJc w:val="left"/>
      <w:pPr>
        <w:ind w:left="1440" w:hanging="360"/>
      </w:pPr>
      <w:rPr>
        <w:rFonts w:ascii="Century Gothic" w:eastAsia="Times New Roman" w:hAnsi="Century Gothic" w:cs="Arial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31B0"/>
    <w:multiLevelType w:val="hybridMultilevel"/>
    <w:tmpl w:val="94C610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01B5"/>
    <w:multiLevelType w:val="hybridMultilevel"/>
    <w:tmpl w:val="3FFAD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334B9"/>
    <w:multiLevelType w:val="hybridMultilevel"/>
    <w:tmpl w:val="BF6C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5299"/>
    <w:multiLevelType w:val="hybridMultilevel"/>
    <w:tmpl w:val="A6E664D4"/>
    <w:lvl w:ilvl="0" w:tplc="E6EEB9B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B1EA7"/>
    <w:multiLevelType w:val="hybridMultilevel"/>
    <w:tmpl w:val="417EF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86428"/>
    <w:multiLevelType w:val="hybridMultilevel"/>
    <w:tmpl w:val="E29282FE"/>
    <w:lvl w:ilvl="0" w:tplc="0C0A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06" w:hanging="360"/>
      </w:pPr>
    </w:lvl>
    <w:lvl w:ilvl="2" w:tplc="0C0A001B" w:tentative="1">
      <w:start w:val="1"/>
      <w:numFmt w:val="lowerRoman"/>
      <w:lvlText w:val="%3."/>
      <w:lvlJc w:val="right"/>
      <w:pPr>
        <w:ind w:left="1026" w:hanging="180"/>
      </w:pPr>
    </w:lvl>
    <w:lvl w:ilvl="3" w:tplc="0C0A000F" w:tentative="1">
      <w:start w:val="1"/>
      <w:numFmt w:val="decimal"/>
      <w:lvlText w:val="%4."/>
      <w:lvlJc w:val="left"/>
      <w:pPr>
        <w:ind w:left="1746" w:hanging="360"/>
      </w:pPr>
    </w:lvl>
    <w:lvl w:ilvl="4" w:tplc="0C0A0019" w:tentative="1">
      <w:start w:val="1"/>
      <w:numFmt w:val="lowerLetter"/>
      <w:lvlText w:val="%5."/>
      <w:lvlJc w:val="left"/>
      <w:pPr>
        <w:ind w:left="2466" w:hanging="360"/>
      </w:pPr>
    </w:lvl>
    <w:lvl w:ilvl="5" w:tplc="0C0A001B" w:tentative="1">
      <w:start w:val="1"/>
      <w:numFmt w:val="lowerRoman"/>
      <w:lvlText w:val="%6."/>
      <w:lvlJc w:val="right"/>
      <w:pPr>
        <w:ind w:left="3186" w:hanging="180"/>
      </w:pPr>
    </w:lvl>
    <w:lvl w:ilvl="6" w:tplc="0C0A000F" w:tentative="1">
      <w:start w:val="1"/>
      <w:numFmt w:val="decimal"/>
      <w:lvlText w:val="%7."/>
      <w:lvlJc w:val="left"/>
      <w:pPr>
        <w:ind w:left="3906" w:hanging="360"/>
      </w:pPr>
    </w:lvl>
    <w:lvl w:ilvl="7" w:tplc="0C0A0019" w:tentative="1">
      <w:start w:val="1"/>
      <w:numFmt w:val="lowerLetter"/>
      <w:lvlText w:val="%8."/>
      <w:lvlJc w:val="left"/>
      <w:pPr>
        <w:ind w:left="4626" w:hanging="360"/>
      </w:pPr>
    </w:lvl>
    <w:lvl w:ilvl="8" w:tplc="0C0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0" w15:restartNumberingAfterBreak="0">
    <w:nsid w:val="2892175F"/>
    <w:multiLevelType w:val="hybridMultilevel"/>
    <w:tmpl w:val="84E60B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32BB"/>
    <w:multiLevelType w:val="hybridMultilevel"/>
    <w:tmpl w:val="1316BB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92D87"/>
    <w:multiLevelType w:val="hybridMultilevel"/>
    <w:tmpl w:val="7D9C42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397C"/>
    <w:multiLevelType w:val="hybridMultilevel"/>
    <w:tmpl w:val="5ADC22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176F6"/>
    <w:multiLevelType w:val="hybridMultilevel"/>
    <w:tmpl w:val="D1FC26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A7830"/>
    <w:multiLevelType w:val="hybridMultilevel"/>
    <w:tmpl w:val="87509306"/>
    <w:lvl w:ilvl="0" w:tplc="24D4242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509F5"/>
    <w:multiLevelType w:val="hybridMultilevel"/>
    <w:tmpl w:val="2F6A6BA6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CD7C55"/>
    <w:multiLevelType w:val="hybridMultilevel"/>
    <w:tmpl w:val="9F80895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7674E1"/>
    <w:multiLevelType w:val="hybridMultilevel"/>
    <w:tmpl w:val="51F203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26985"/>
    <w:multiLevelType w:val="hybridMultilevel"/>
    <w:tmpl w:val="B9B4AD0E"/>
    <w:lvl w:ilvl="0" w:tplc="69963E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12E5C"/>
    <w:multiLevelType w:val="hybridMultilevel"/>
    <w:tmpl w:val="644AEA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047D3"/>
    <w:multiLevelType w:val="hybridMultilevel"/>
    <w:tmpl w:val="51082F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C356B"/>
    <w:multiLevelType w:val="hybridMultilevel"/>
    <w:tmpl w:val="69DEF552"/>
    <w:lvl w:ilvl="0" w:tplc="A78659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0D3320A"/>
    <w:multiLevelType w:val="hybridMultilevel"/>
    <w:tmpl w:val="BC3CD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9E1D50"/>
    <w:multiLevelType w:val="hybridMultilevel"/>
    <w:tmpl w:val="E29282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F32CE"/>
    <w:multiLevelType w:val="hybridMultilevel"/>
    <w:tmpl w:val="A14A107E"/>
    <w:lvl w:ilvl="0" w:tplc="11761EB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4455D"/>
    <w:multiLevelType w:val="hybridMultilevel"/>
    <w:tmpl w:val="E29282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F52EBC"/>
    <w:multiLevelType w:val="hybridMultilevel"/>
    <w:tmpl w:val="4B963D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B682A"/>
    <w:multiLevelType w:val="multilevel"/>
    <w:tmpl w:val="C6BA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27D24"/>
    <w:multiLevelType w:val="hybridMultilevel"/>
    <w:tmpl w:val="4956C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93F11"/>
    <w:multiLevelType w:val="hybridMultilevel"/>
    <w:tmpl w:val="5036A766"/>
    <w:lvl w:ilvl="0" w:tplc="2BB2B2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A606691"/>
    <w:multiLevelType w:val="hybridMultilevel"/>
    <w:tmpl w:val="4796B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54778"/>
    <w:multiLevelType w:val="hybridMultilevel"/>
    <w:tmpl w:val="378A1990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A396D68"/>
    <w:multiLevelType w:val="hybridMultilevel"/>
    <w:tmpl w:val="8936752A"/>
    <w:lvl w:ilvl="0" w:tplc="04E41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E53EE"/>
    <w:multiLevelType w:val="hybridMultilevel"/>
    <w:tmpl w:val="2B941D9A"/>
    <w:lvl w:ilvl="0" w:tplc="69963E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653C2D"/>
    <w:multiLevelType w:val="hybridMultilevel"/>
    <w:tmpl w:val="3A702DFA"/>
    <w:lvl w:ilvl="0" w:tplc="8ABA9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636034"/>
    <w:multiLevelType w:val="hybridMultilevel"/>
    <w:tmpl w:val="AA9CBBA2"/>
    <w:lvl w:ilvl="0" w:tplc="69963E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8C0A66"/>
    <w:multiLevelType w:val="hybridMultilevel"/>
    <w:tmpl w:val="3A702DFA"/>
    <w:lvl w:ilvl="0" w:tplc="8ABA9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F12589"/>
    <w:multiLevelType w:val="hybridMultilevel"/>
    <w:tmpl w:val="6BCAADB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4"/>
  </w:num>
  <w:num w:numId="4">
    <w:abstractNumId w:val="29"/>
  </w:num>
  <w:num w:numId="5">
    <w:abstractNumId w:val="19"/>
  </w:num>
  <w:num w:numId="6">
    <w:abstractNumId w:val="23"/>
  </w:num>
  <w:num w:numId="7">
    <w:abstractNumId w:val="28"/>
  </w:num>
  <w:num w:numId="8">
    <w:abstractNumId w:val="25"/>
  </w:num>
  <w:num w:numId="9">
    <w:abstractNumId w:val="4"/>
  </w:num>
  <w:num w:numId="10">
    <w:abstractNumId w:val="17"/>
  </w:num>
  <w:num w:numId="11">
    <w:abstractNumId w:val="37"/>
  </w:num>
  <w:num w:numId="12">
    <w:abstractNumId w:val="11"/>
  </w:num>
  <w:num w:numId="13">
    <w:abstractNumId w:val="35"/>
  </w:num>
  <w:num w:numId="14">
    <w:abstractNumId w:val="0"/>
  </w:num>
  <w:num w:numId="15">
    <w:abstractNumId w:val="13"/>
  </w:num>
  <w:num w:numId="16">
    <w:abstractNumId w:val="32"/>
  </w:num>
  <w:num w:numId="17">
    <w:abstractNumId w:val="22"/>
  </w:num>
  <w:num w:numId="18">
    <w:abstractNumId w:val="30"/>
  </w:num>
  <w:num w:numId="19">
    <w:abstractNumId w:val="26"/>
  </w:num>
  <w:num w:numId="20">
    <w:abstractNumId w:val="24"/>
  </w:num>
  <w:num w:numId="21">
    <w:abstractNumId w:val="9"/>
  </w:num>
  <w:num w:numId="22">
    <w:abstractNumId w:val="1"/>
  </w:num>
  <w:num w:numId="23">
    <w:abstractNumId w:val="12"/>
  </w:num>
  <w:num w:numId="24">
    <w:abstractNumId w:val="10"/>
  </w:num>
  <w:num w:numId="25">
    <w:abstractNumId w:val="33"/>
  </w:num>
  <w:num w:numId="26">
    <w:abstractNumId w:val="15"/>
  </w:num>
  <w:num w:numId="27">
    <w:abstractNumId w:val="38"/>
  </w:num>
  <w:num w:numId="28">
    <w:abstractNumId w:val="21"/>
  </w:num>
  <w:num w:numId="29">
    <w:abstractNumId w:val="8"/>
  </w:num>
  <w:num w:numId="30">
    <w:abstractNumId w:val="27"/>
  </w:num>
  <w:num w:numId="31">
    <w:abstractNumId w:val="3"/>
  </w:num>
  <w:num w:numId="32">
    <w:abstractNumId w:val="2"/>
  </w:num>
  <w:num w:numId="33">
    <w:abstractNumId w:val="16"/>
  </w:num>
  <w:num w:numId="34">
    <w:abstractNumId w:val="6"/>
  </w:num>
  <w:num w:numId="35">
    <w:abstractNumId w:val="14"/>
  </w:num>
  <w:num w:numId="36">
    <w:abstractNumId w:val="7"/>
  </w:num>
  <w:num w:numId="37">
    <w:abstractNumId w:val="20"/>
  </w:num>
  <w:num w:numId="38">
    <w:abstractNumId w:val="1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1F"/>
    <w:rsid w:val="00000916"/>
    <w:rsid w:val="00006A9F"/>
    <w:rsid w:val="000076A9"/>
    <w:rsid w:val="00010C4C"/>
    <w:rsid w:val="00012F5D"/>
    <w:rsid w:val="000203FD"/>
    <w:rsid w:val="000217EF"/>
    <w:rsid w:val="00021A5B"/>
    <w:rsid w:val="00022901"/>
    <w:rsid w:val="00022E06"/>
    <w:rsid w:val="0002374B"/>
    <w:rsid w:val="0002426F"/>
    <w:rsid w:val="0002504F"/>
    <w:rsid w:val="000514AA"/>
    <w:rsid w:val="000619C4"/>
    <w:rsid w:val="00083B40"/>
    <w:rsid w:val="000904CF"/>
    <w:rsid w:val="000924B0"/>
    <w:rsid w:val="0009260A"/>
    <w:rsid w:val="000A120B"/>
    <w:rsid w:val="000A597D"/>
    <w:rsid w:val="000A798E"/>
    <w:rsid w:val="000B057D"/>
    <w:rsid w:val="000B2151"/>
    <w:rsid w:val="000B39A5"/>
    <w:rsid w:val="000B5A85"/>
    <w:rsid w:val="000B7F29"/>
    <w:rsid w:val="000C62BF"/>
    <w:rsid w:val="000D47EC"/>
    <w:rsid w:val="000E553F"/>
    <w:rsid w:val="000E6143"/>
    <w:rsid w:val="000F01A8"/>
    <w:rsid w:val="000F18EE"/>
    <w:rsid w:val="000F3B7B"/>
    <w:rsid w:val="001010CB"/>
    <w:rsid w:val="00101796"/>
    <w:rsid w:val="001105DA"/>
    <w:rsid w:val="00110C1C"/>
    <w:rsid w:val="001143F7"/>
    <w:rsid w:val="00116CD1"/>
    <w:rsid w:val="00120184"/>
    <w:rsid w:val="00121CFB"/>
    <w:rsid w:val="001301E9"/>
    <w:rsid w:val="00134628"/>
    <w:rsid w:val="00140526"/>
    <w:rsid w:val="001407A1"/>
    <w:rsid w:val="00144E32"/>
    <w:rsid w:val="001468EA"/>
    <w:rsid w:val="00161306"/>
    <w:rsid w:val="00161A96"/>
    <w:rsid w:val="00170BFC"/>
    <w:rsid w:val="001727FD"/>
    <w:rsid w:val="001773ED"/>
    <w:rsid w:val="001779A0"/>
    <w:rsid w:val="00185980"/>
    <w:rsid w:val="00186C62"/>
    <w:rsid w:val="001A20A3"/>
    <w:rsid w:val="001A2457"/>
    <w:rsid w:val="001B6E94"/>
    <w:rsid w:val="001C3BCB"/>
    <w:rsid w:val="001D0646"/>
    <w:rsid w:val="001D11FA"/>
    <w:rsid w:val="001D1B44"/>
    <w:rsid w:val="001E12AA"/>
    <w:rsid w:val="001E1ABF"/>
    <w:rsid w:val="001E1DE6"/>
    <w:rsid w:val="001F1EEE"/>
    <w:rsid w:val="00200610"/>
    <w:rsid w:val="00204C7D"/>
    <w:rsid w:val="00221425"/>
    <w:rsid w:val="0022648E"/>
    <w:rsid w:val="00235AF3"/>
    <w:rsid w:val="00241522"/>
    <w:rsid w:val="00242F4D"/>
    <w:rsid w:val="00244AF9"/>
    <w:rsid w:val="002501E1"/>
    <w:rsid w:val="002506F4"/>
    <w:rsid w:val="00253273"/>
    <w:rsid w:val="00256AB1"/>
    <w:rsid w:val="002645E0"/>
    <w:rsid w:val="002675B3"/>
    <w:rsid w:val="00285F6F"/>
    <w:rsid w:val="00287DC8"/>
    <w:rsid w:val="0029209E"/>
    <w:rsid w:val="002A5E91"/>
    <w:rsid w:val="002B3268"/>
    <w:rsid w:val="002C50AA"/>
    <w:rsid w:val="002E0601"/>
    <w:rsid w:val="002E3DFD"/>
    <w:rsid w:val="002F0CF7"/>
    <w:rsid w:val="002F3BF7"/>
    <w:rsid w:val="00304B41"/>
    <w:rsid w:val="003106BC"/>
    <w:rsid w:val="00315470"/>
    <w:rsid w:val="0031656E"/>
    <w:rsid w:val="00320901"/>
    <w:rsid w:val="00321BCB"/>
    <w:rsid w:val="00324D68"/>
    <w:rsid w:val="00326533"/>
    <w:rsid w:val="00335C4B"/>
    <w:rsid w:val="003401EA"/>
    <w:rsid w:val="00350E22"/>
    <w:rsid w:val="00353B2C"/>
    <w:rsid w:val="003609BC"/>
    <w:rsid w:val="00371700"/>
    <w:rsid w:val="003729BD"/>
    <w:rsid w:val="00372C3E"/>
    <w:rsid w:val="00373AAC"/>
    <w:rsid w:val="00376721"/>
    <w:rsid w:val="00390CBB"/>
    <w:rsid w:val="003927CB"/>
    <w:rsid w:val="0039316A"/>
    <w:rsid w:val="003A40D3"/>
    <w:rsid w:val="003A5CA9"/>
    <w:rsid w:val="003A7D99"/>
    <w:rsid w:val="003B1BC6"/>
    <w:rsid w:val="003B20BE"/>
    <w:rsid w:val="003B7427"/>
    <w:rsid w:val="003B7862"/>
    <w:rsid w:val="003C37C7"/>
    <w:rsid w:val="003C405D"/>
    <w:rsid w:val="003D3D98"/>
    <w:rsid w:val="003E4268"/>
    <w:rsid w:val="003F2F05"/>
    <w:rsid w:val="003F378E"/>
    <w:rsid w:val="003F4235"/>
    <w:rsid w:val="00402BF4"/>
    <w:rsid w:val="0040600C"/>
    <w:rsid w:val="00416ABC"/>
    <w:rsid w:val="004236F9"/>
    <w:rsid w:val="00427754"/>
    <w:rsid w:val="00427911"/>
    <w:rsid w:val="00430947"/>
    <w:rsid w:val="00430CA9"/>
    <w:rsid w:val="00432D71"/>
    <w:rsid w:val="004377B9"/>
    <w:rsid w:val="00437F51"/>
    <w:rsid w:val="00442DE8"/>
    <w:rsid w:val="0044417C"/>
    <w:rsid w:val="00445D9B"/>
    <w:rsid w:val="00446570"/>
    <w:rsid w:val="00450303"/>
    <w:rsid w:val="0045592C"/>
    <w:rsid w:val="004562B6"/>
    <w:rsid w:val="0047749C"/>
    <w:rsid w:val="00492E5E"/>
    <w:rsid w:val="0049304F"/>
    <w:rsid w:val="00493DC4"/>
    <w:rsid w:val="0049518D"/>
    <w:rsid w:val="004A5711"/>
    <w:rsid w:val="004A6ED6"/>
    <w:rsid w:val="004B0870"/>
    <w:rsid w:val="004B286A"/>
    <w:rsid w:val="004B72BC"/>
    <w:rsid w:val="004C0A26"/>
    <w:rsid w:val="004C2A7F"/>
    <w:rsid w:val="004C76A2"/>
    <w:rsid w:val="004C7BF0"/>
    <w:rsid w:val="004D0EBD"/>
    <w:rsid w:val="004D2152"/>
    <w:rsid w:val="004D3AB7"/>
    <w:rsid w:val="004E52AD"/>
    <w:rsid w:val="004F3405"/>
    <w:rsid w:val="00505B72"/>
    <w:rsid w:val="00512FA7"/>
    <w:rsid w:val="005151BD"/>
    <w:rsid w:val="00525840"/>
    <w:rsid w:val="005301FC"/>
    <w:rsid w:val="00535EFA"/>
    <w:rsid w:val="00537EF4"/>
    <w:rsid w:val="005416AF"/>
    <w:rsid w:val="00547511"/>
    <w:rsid w:val="005525F2"/>
    <w:rsid w:val="005570B1"/>
    <w:rsid w:val="005644A4"/>
    <w:rsid w:val="005667F0"/>
    <w:rsid w:val="00571FB0"/>
    <w:rsid w:val="00577E1E"/>
    <w:rsid w:val="00585B28"/>
    <w:rsid w:val="0059218E"/>
    <w:rsid w:val="00592A58"/>
    <w:rsid w:val="005A2598"/>
    <w:rsid w:val="005C686F"/>
    <w:rsid w:val="005D0EEB"/>
    <w:rsid w:val="005E2D96"/>
    <w:rsid w:val="005E3DDE"/>
    <w:rsid w:val="005F0AB0"/>
    <w:rsid w:val="00600146"/>
    <w:rsid w:val="00605CDF"/>
    <w:rsid w:val="00610A2A"/>
    <w:rsid w:val="00614BBB"/>
    <w:rsid w:val="0061630B"/>
    <w:rsid w:val="00622CEF"/>
    <w:rsid w:val="006230E0"/>
    <w:rsid w:val="00630FFE"/>
    <w:rsid w:val="00634BB9"/>
    <w:rsid w:val="0066056A"/>
    <w:rsid w:val="006632A2"/>
    <w:rsid w:val="00666C20"/>
    <w:rsid w:val="006717DE"/>
    <w:rsid w:val="00674710"/>
    <w:rsid w:val="00681611"/>
    <w:rsid w:val="0068651C"/>
    <w:rsid w:val="006931E1"/>
    <w:rsid w:val="0069449D"/>
    <w:rsid w:val="00695C51"/>
    <w:rsid w:val="006A69AA"/>
    <w:rsid w:val="006A6BC8"/>
    <w:rsid w:val="006B32CB"/>
    <w:rsid w:val="006B4ECD"/>
    <w:rsid w:val="006B7BB1"/>
    <w:rsid w:val="006E1C19"/>
    <w:rsid w:val="006F0E08"/>
    <w:rsid w:val="006F4BD9"/>
    <w:rsid w:val="006F53CF"/>
    <w:rsid w:val="007126DF"/>
    <w:rsid w:val="00716E91"/>
    <w:rsid w:val="007175DC"/>
    <w:rsid w:val="007208BF"/>
    <w:rsid w:val="00720AC8"/>
    <w:rsid w:val="00726BEE"/>
    <w:rsid w:val="00731E01"/>
    <w:rsid w:val="00732C8E"/>
    <w:rsid w:val="00735492"/>
    <w:rsid w:val="00742980"/>
    <w:rsid w:val="00742F0E"/>
    <w:rsid w:val="00742F84"/>
    <w:rsid w:val="00744700"/>
    <w:rsid w:val="00747FB1"/>
    <w:rsid w:val="00757952"/>
    <w:rsid w:val="00760D0D"/>
    <w:rsid w:val="007617C3"/>
    <w:rsid w:val="00764728"/>
    <w:rsid w:val="00770776"/>
    <w:rsid w:val="00772403"/>
    <w:rsid w:val="007762FA"/>
    <w:rsid w:val="007777D9"/>
    <w:rsid w:val="0078411F"/>
    <w:rsid w:val="0079554E"/>
    <w:rsid w:val="007A4856"/>
    <w:rsid w:val="007A5362"/>
    <w:rsid w:val="007B34CE"/>
    <w:rsid w:val="007B3F73"/>
    <w:rsid w:val="007B753A"/>
    <w:rsid w:val="007B7D6F"/>
    <w:rsid w:val="007C4A08"/>
    <w:rsid w:val="007C78AF"/>
    <w:rsid w:val="007D4CC6"/>
    <w:rsid w:val="007E1581"/>
    <w:rsid w:val="007F6CAE"/>
    <w:rsid w:val="008038C7"/>
    <w:rsid w:val="0080573A"/>
    <w:rsid w:val="008110F1"/>
    <w:rsid w:val="00811CA1"/>
    <w:rsid w:val="00843F7F"/>
    <w:rsid w:val="00850888"/>
    <w:rsid w:val="00852DF1"/>
    <w:rsid w:val="00861658"/>
    <w:rsid w:val="00861BA0"/>
    <w:rsid w:val="0086222D"/>
    <w:rsid w:val="0087466C"/>
    <w:rsid w:val="00875084"/>
    <w:rsid w:val="00884981"/>
    <w:rsid w:val="00884C28"/>
    <w:rsid w:val="008966E2"/>
    <w:rsid w:val="008A10DC"/>
    <w:rsid w:val="008A33F4"/>
    <w:rsid w:val="008A54D8"/>
    <w:rsid w:val="008A6436"/>
    <w:rsid w:val="008B1177"/>
    <w:rsid w:val="008C3852"/>
    <w:rsid w:val="008C7A5A"/>
    <w:rsid w:val="008D29E6"/>
    <w:rsid w:val="008E02EE"/>
    <w:rsid w:val="008E1462"/>
    <w:rsid w:val="008E14B4"/>
    <w:rsid w:val="008E4659"/>
    <w:rsid w:val="008F0049"/>
    <w:rsid w:val="008F3A15"/>
    <w:rsid w:val="008F662B"/>
    <w:rsid w:val="0090321D"/>
    <w:rsid w:val="009034C8"/>
    <w:rsid w:val="0092025E"/>
    <w:rsid w:val="00920B7E"/>
    <w:rsid w:val="00925D19"/>
    <w:rsid w:val="00925FDC"/>
    <w:rsid w:val="00931ED6"/>
    <w:rsid w:val="00941F45"/>
    <w:rsid w:val="009442A4"/>
    <w:rsid w:val="009508C2"/>
    <w:rsid w:val="00951814"/>
    <w:rsid w:val="0096077E"/>
    <w:rsid w:val="00962C6B"/>
    <w:rsid w:val="00963FCF"/>
    <w:rsid w:val="009711BA"/>
    <w:rsid w:val="009838A9"/>
    <w:rsid w:val="0099011A"/>
    <w:rsid w:val="00991DF8"/>
    <w:rsid w:val="0099361C"/>
    <w:rsid w:val="00993923"/>
    <w:rsid w:val="00993B54"/>
    <w:rsid w:val="009B13A9"/>
    <w:rsid w:val="009B20B9"/>
    <w:rsid w:val="009C1107"/>
    <w:rsid w:val="009C1EDF"/>
    <w:rsid w:val="009C68E0"/>
    <w:rsid w:val="009D0402"/>
    <w:rsid w:val="009F3D9B"/>
    <w:rsid w:val="009F4CC7"/>
    <w:rsid w:val="00A0382E"/>
    <w:rsid w:val="00A03FC9"/>
    <w:rsid w:val="00A055BA"/>
    <w:rsid w:val="00A0662D"/>
    <w:rsid w:val="00A22638"/>
    <w:rsid w:val="00A22A52"/>
    <w:rsid w:val="00A22F01"/>
    <w:rsid w:val="00A23C52"/>
    <w:rsid w:val="00A2456A"/>
    <w:rsid w:val="00A266F9"/>
    <w:rsid w:val="00A26DBF"/>
    <w:rsid w:val="00A322CF"/>
    <w:rsid w:val="00A35330"/>
    <w:rsid w:val="00A35B63"/>
    <w:rsid w:val="00A36DF4"/>
    <w:rsid w:val="00A40FBA"/>
    <w:rsid w:val="00A47747"/>
    <w:rsid w:val="00A561BE"/>
    <w:rsid w:val="00A571BE"/>
    <w:rsid w:val="00A66170"/>
    <w:rsid w:val="00A66D52"/>
    <w:rsid w:val="00A70B15"/>
    <w:rsid w:val="00A72CF6"/>
    <w:rsid w:val="00A81A53"/>
    <w:rsid w:val="00A84FB1"/>
    <w:rsid w:val="00A878FB"/>
    <w:rsid w:val="00A90EC7"/>
    <w:rsid w:val="00A969DC"/>
    <w:rsid w:val="00AA1900"/>
    <w:rsid w:val="00AA4D02"/>
    <w:rsid w:val="00AB018F"/>
    <w:rsid w:val="00AB1011"/>
    <w:rsid w:val="00AC0EFA"/>
    <w:rsid w:val="00AC5530"/>
    <w:rsid w:val="00AC7C58"/>
    <w:rsid w:val="00AD2A38"/>
    <w:rsid w:val="00AD416A"/>
    <w:rsid w:val="00AD4AD2"/>
    <w:rsid w:val="00AD5D4F"/>
    <w:rsid w:val="00AE5235"/>
    <w:rsid w:val="00AF203B"/>
    <w:rsid w:val="00AF5B39"/>
    <w:rsid w:val="00AF6256"/>
    <w:rsid w:val="00AF6A9B"/>
    <w:rsid w:val="00B11283"/>
    <w:rsid w:val="00B11A3D"/>
    <w:rsid w:val="00B1221C"/>
    <w:rsid w:val="00B123A9"/>
    <w:rsid w:val="00B16D19"/>
    <w:rsid w:val="00B23C7E"/>
    <w:rsid w:val="00B2415D"/>
    <w:rsid w:val="00B25B0B"/>
    <w:rsid w:val="00B26751"/>
    <w:rsid w:val="00B358A1"/>
    <w:rsid w:val="00B35941"/>
    <w:rsid w:val="00B402A8"/>
    <w:rsid w:val="00B41A94"/>
    <w:rsid w:val="00B45E82"/>
    <w:rsid w:val="00B46042"/>
    <w:rsid w:val="00B538B1"/>
    <w:rsid w:val="00B54FB5"/>
    <w:rsid w:val="00B56095"/>
    <w:rsid w:val="00B5715E"/>
    <w:rsid w:val="00B60E84"/>
    <w:rsid w:val="00B7072C"/>
    <w:rsid w:val="00B8536E"/>
    <w:rsid w:val="00B96B43"/>
    <w:rsid w:val="00BA267A"/>
    <w:rsid w:val="00BA6A18"/>
    <w:rsid w:val="00BC0873"/>
    <w:rsid w:val="00BC51FD"/>
    <w:rsid w:val="00BC74D7"/>
    <w:rsid w:val="00BD1034"/>
    <w:rsid w:val="00BD304F"/>
    <w:rsid w:val="00BD416D"/>
    <w:rsid w:val="00BE400E"/>
    <w:rsid w:val="00BF466D"/>
    <w:rsid w:val="00C027A8"/>
    <w:rsid w:val="00C04837"/>
    <w:rsid w:val="00C060A8"/>
    <w:rsid w:val="00C11F46"/>
    <w:rsid w:val="00C11FB7"/>
    <w:rsid w:val="00C11FFC"/>
    <w:rsid w:val="00C145C8"/>
    <w:rsid w:val="00C25CCF"/>
    <w:rsid w:val="00C40FE7"/>
    <w:rsid w:val="00C43D38"/>
    <w:rsid w:val="00C4444F"/>
    <w:rsid w:val="00C466BB"/>
    <w:rsid w:val="00C46834"/>
    <w:rsid w:val="00C50293"/>
    <w:rsid w:val="00C51B27"/>
    <w:rsid w:val="00C7122E"/>
    <w:rsid w:val="00C74544"/>
    <w:rsid w:val="00C76020"/>
    <w:rsid w:val="00C80EFF"/>
    <w:rsid w:val="00C8118C"/>
    <w:rsid w:val="00C824CF"/>
    <w:rsid w:val="00C83986"/>
    <w:rsid w:val="00C84721"/>
    <w:rsid w:val="00C87371"/>
    <w:rsid w:val="00C9002E"/>
    <w:rsid w:val="00C979D3"/>
    <w:rsid w:val="00CA0C8D"/>
    <w:rsid w:val="00CA39E6"/>
    <w:rsid w:val="00CA4B95"/>
    <w:rsid w:val="00CA5763"/>
    <w:rsid w:val="00CA66A1"/>
    <w:rsid w:val="00CA69FF"/>
    <w:rsid w:val="00CC2890"/>
    <w:rsid w:val="00CC2E12"/>
    <w:rsid w:val="00CC3B94"/>
    <w:rsid w:val="00CC3CC1"/>
    <w:rsid w:val="00CD5DAD"/>
    <w:rsid w:val="00CE29FD"/>
    <w:rsid w:val="00CE309A"/>
    <w:rsid w:val="00CE4439"/>
    <w:rsid w:val="00CF37D0"/>
    <w:rsid w:val="00CF4862"/>
    <w:rsid w:val="00CF5ED1"/>
    <w:rsid w:val="00CF6CD7"/>
    <w:rsid w:val="00CF7710"/>
    <w:rsid w:val="00D04BFF"/>
    <w:rsid w:val="00D1104D"/>
    <w:rsid w:val="00D215D6"/>
    <w:rsid w:val="00D223DC"/>
    <w:rsid w:val="00D27417"/>
    <w:rsid w:val="00D27C2D"/>
    <w:rsid w:val="00D30F40"/>
    <w:rsid w:val="00D31256"/>
    <w:rsid w:val="00D4114F"/>
    <w:rsid w:val="00D461D9"/>
    <w:rsid w:val="00D46E37"/>
    <w:rsid w:val="00D47CE2"/>
    <w:rsid w:val="00D61747"/>
    <w:rsid w:val="00D64D2A"/>
    <w:rsid w:val="00D73987"/>
    <w:rsid w:val="00D84A27"/>
    <w:rsid w:val="00DA6527"/>
    <w:rsid w:val="00DB3575"/>
    <w:rsid w:val="00DB41CD"/>
    <w:rsid w:val="00DB6797"/>
    <w:rsid w:val="00DB698E"/>
    <w:rsid w:val="00DB7A59"/>
    <w:rsid w:val="00DC6042"/>
    <w:rsid w:val="00DC66CD"/>
    <w:rsid w:val="00DC767B"/>
    <w:rsid w:val="00DC7FA7"/>
    <w:rsid w:val="00DD2285"/>
    <w:rsid w:val="00DD44A1"/>
    <w:rsid w:val="00DE1BED"/>
    <w:rsid w:val="00DE3F08"/>
    <w:rsid w:val="00DE65AE"/>
    <w:rsid w:val="00DF24EC"/>
    <w:rsid w:val="00E013F8"/>
    <w:rsid w:val="00E029C2"/>
    <w:rsid w:val="00E03268"/>
    <w:rsid w:val="00E1178C"/>
    <w:rsid w:val="00E12B7F"/>
    <w:rsid w:val="00E14AA3"/>
    <w:rsid w:val="00E2020E"/>
    <w:rsid w:val="00E220A4"/>
    <w:rsid w:val="00E233CB"/>
    <w:rsid w:val="00E23B89"/>
    <w:rsid w:val="00E242B0"/>
    <w:rsid w:val="00E27FD0"/>
    <w:rsid w:val="00E32655"/>
    <w:rsid w:val="00E40A9D"/>
    <w:rsid w:val="00E41B5F"/>
    <w:rsid w:val="00E4475F"/>
    <w:rsid w:val="00E44AA3"/>
    <w:rsid w:val="00E5001F"/>
    <w:rsid w:val="00E52A47"/>
    <w:rsid w:val="00E536B2"/>
    <w:rsid w:val="00E57B66"/>
    <w:rsid w:val="00E66306"/>
    <w:rsid w:val="00E70DF1"/>
    <w:rsid w:val="00E7106A"/>
    <w:rsid w:val="00E747EE"/>
    <w:rsid w:val="00E7544E"/>
    <w:rsid w:val="00E75763"/>
    <w:rsid w:val="00E76CE7"/>
    <w:rsid w:val="00E8032B"/>
    <w:rsid w:val="00E8600B"/>
    <w:rsid w:val="00E97F94"/>
    <w:rsid w:val="00EA5DA1"/>
    <w:rsid w:val="00EA7D90"/>
    <w:rsid w:val="00EB284B"/>
    <w:rsid w:val="00EB4A03"/>
    <w:rsid w:val="00ED3538"/>
    <w:rsid w:val="00EE49C3"/>
    <w:rsid w:val="00EE67F2"/>
    <w:rsid w:val="00EF0F36"/>
    <w:rsid w:val="00EF124B"/>
    <w:rsid w:val="00EF2AE5"/>
    <w:rsid w:val="00EF35E2"/>
    <w:rsid w:val="00F009BC"/>
    <w:rsid w:val="00F1460C"/>
    <w:rsid w:val="00F22419"/>
    <w:rsid w:val="00F2496B"/>
    <w:rsid w:val="00F25786"/>
    <w:rsid w:val="00F26BE7"/>
    <w:rsid w:val="00F2747F"/>
    <w:rsid w:val="00F35F7B"/>
    <w:rsid w:val="00F3648C"/>
    <w:rsid w:val="00F40844"/>
    <w:rsid w:val="00F40C47"/>
    <w:rsid w:val="00F447DE"/>
    <w:rsid w:val="00F45A9B"/>
    <w:rsid w:val="00F50802"/>
    <w:rsid w:val="00F51B34"/>
    <w:rsid w:val="00F602BE"/>
    <w:rsid w:val="00F6068A"/>
    <w:rsid w:val="00F71A73"/>
    <w:rsid w:val="00F72C2F"/>
    <w:rsid w:val="00F73310"/>
    <w:rsid w:val="00F807EC"/>
    <w:rsid w:val="00F83DEB"/>
    <w:rsid w:val="00F875A4"/>
    <w:rsid w:val="00F87696"/>
    <w:rsid w:val="00F877BB"/>
    <w:rsid w:val="00F90DAD"/>
    <w:rsid w:val="00F90FC8"/>
    <w:rsid w:val="00FB0661"/>
    <w:rsid w:val="00FB5651"/>
    <w:rsid w:val="00FC26EB"/>
    <w:rsid w:val="00FD385C"/>
    <w:rsid w:val="00FD7FBF"/>
    <w:rsid w:val="00FE4396"/>
    <w:rsid w:val="00FE5FF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99A9FB"/>
  <w15:docId w15:val="{C128987F-EDE5-4BCA-A35E-DD6DB6B1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42B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242B0"/>
    <w:pPr>
      <w:jc w:val="both"/>
    </w:pPr>
    <w:rPr>
      <w:rFonts w:ascii="Arial" w:hAnsi="Arial" w:cs="Arial"/>
    </w:rPr>
  </w:style>
  <w:style w:type="table" w:styleId="Tablaconcuadrcula">
    <w:name w:val="Table Grid"/>
    <w:basedOn w:val="Tablanormal"/>
    <w:rsid w:val="00B35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A266F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A266F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0619C4"/>
  </w:style>
  <w:style w:type="paragraph" w:styleId="Prrafodelista">
    <w:name w:val="List Paragraph"/>
    <w:basedOn w:val="Normal"/>
    <w:uiPriority w:val="34"/>
    <w:qFormat/>
    <w:rsid w:val="007F6CA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5DA"/>
    <w:rPr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666C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66C20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rsid w:val="007175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175DC"/>
    <w:rPr>
      <w:lang w:eastAsia="en-US"/>
    </w:rPr>
  </w:style>
  <w:style w:type="character" w:styleId="Refdenotaalpie">
    <w:name w:val="footnote reference"/>
    <w:basedOn w:val="Fuentedeprrafopredeter"/>
    <w:rsid w:val="007175DC"/>
    <w:rPr>
      <w:vertAlign w:val="superscript"/>
    </w:rPr>
  </w:style>
  <w:style w:type="character" w:styleId="Hipervnculo">
    <w:name w:val="Hyperlink"/>
    <w:basedOn w:val="Fuentedeprrafopredeter"/>
    <w:rsid w:val="00B241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D04BFF"/>
  </w:style>
  <w:style w:type="paragraph" w:styleId="NormalWeb">
    <w:name w:val="Normal (Web)"/>
    <w:basedOn w:val="Normal"/>
    <w:uiPriority w:val="99"/>
    <w:unhideWhenUsed/>
    <w:rsid w:val="00200610"/>
    <w:pPr>
      <w:spacing w:before="100" w:beforeAutospacing="1" w:after="100" w:afterAutospacing="1"/>
    </w:pPr>
    <w:rPr>
      <w:lang w:eastAsia="es-CO"/>
    </w:rPr>
  </w:style>
  <w:style w:type="character" w:styleId="Refdecomentario">
    <w:name w:val="annotation reference"/>
    <w:basedOn w:val="Fuentedeprrafopredeter"/>
    <w:semiHidden/>
    <w:unhideWhenUsed/>
    <w:rsid w:val="0018598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859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8598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859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8598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ac\Downloads\concentration-analysis%20(3).xls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ac\Desktop\Analisis%20financiero\ModeloAF\excel\H%20-%20Smurfit%20Kappa.xlsm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ac\Desktop\Analisis%20financiero\ModeloAF\excel\H%20-%20Smurfit%20Kappa.xlsm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700">
                <a:latin typeface="Leelawadee" panose="020B0502040204020203" pitchFamily="34" charset="-34"/>
                <a:cs typeface="Leelawadee" panose="020B0502040204020203" pitchFamily="34" charset="-34"/>
              </a:rPr>
              <a:t>Cuota</a:t>
            </a:r>
            <a:r>
              <a:rPr lang="es-CO" sz="700" baseline="0">
                <a:latin typeface="Leelawadee" panose="020B0502040204020203" pitchFamily="34" charset="-34"/>
                <a:cs typeface="Leelawadee" panose="020B0502040204020203" pitchFamily="34" charset="-34"/>
              </a:rPr>
              <a:t> de Mercado</a:t>
            </a:r>
            <a:endParaRPr lang="es-CO" sz="700">
              <a:latin typeface="Leelawadee" panose="020B0502040204020203" pitchFamily="34" charset="-34"/>
              <a:cs typeface="Leelawadee" panose="020B0502040204020203" pitchFamily="34" charset="-34"/>
            </a:endParaRPr>
          </a:p>
        </c:rich>
      </c:tx>
      <c:layout>
        <c:manualLayout>
          <c:xMode val="edge"/>
          <c:yMode val="edge"/>
          <c:x val="0.29884974904452732"/>
          <c:y val="3.61990950226244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4.2984578152757448E-2"/>
          <c:y val="0.15607594505232297"/>
          <c:w val="0.5544696597544575"/>
          <c:h val="0.7740968742543545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73-41E7-B8B6-D0A0406FEF2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73-41E7-B8B6-D0A0406FEF2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73-41E7-B8B6-D0A0406FEF2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73-41E7-B8B6-D0A0406FEF20}"/>
              </c:ext>
            </c:extLst>
          </c:dPt>
          <c:dLbls>
            <c:dLbl>
              <c:idx val="0"/>
              <c:layout>
                <c:manualLayout>
                  <c:x val="-9.4998520416783458E-2"/>
                  <c:y val="0.1218100010225994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73-41E7-B8B6-D0A0406FEF20}"/>
                </c:ext>
              </c:extLst>
            </c:dLbl>
            <c:dLbl>
              <c:idx val="1"/>
              <c:layout>
                <c:manualLayout>
                  <c:x val="-0.10642158648432477"/>
                  <c:y val="0.106040154071650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73-41E7-B8B6-D0A0406FEF20}"/>
                </c:ext>
              </c:extLst>
            </c:dLbl>
            <c:dLbl>
              <c:idx val="2"/>
              <c:layout>
                <c:manualLayout>
                  <c:x val="-0.12273216027939218"/>
                  <c:y val="0.140072263694310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73-41E7-B8B6-D0A0406FEF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bg1"/>
                    </a:solidFill>
                    <a:latin typeface="Leelawadee" panose="020B0502040204020203" pitchFamily="34" charset="-34"/>
                    <a:ea typeface="+mn-ea"/>
                    <a:cs typeface="Leelawadee" panose="020B0502040204020203" pitchFamily="34" charset="-34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Worksheet!$K$6:$K$9</c:f>
              <c:strCache>
                <c:ptCount val="4"/>
                <c:pt idx="0">
                  <c:v>CARTON DE COLOMBIA S.A.</c:v>
                </c:pt>
                <c:pt idx="1">
                  <c:v>CARVAJAL PULPA Y PAPEL S.A.</c:v>
                </c:pt>
                <c:pt idx="2">
                  <c:v>CARTONES AMERICA S.A. CAME</c:v>
                </c:pt>
                <c:pt idx="3">
                  <c:v>OTROS</c:v>
                </c:pt>
              </c:strCache>
            </c:strRef>
          </c:cat>
          <c:val>
            <c:numRef>
              <c:f>Worksheet!$L$6:$L$9</c:f>
              <c:numCache>
                <c:formatCode>0.00%</c:formatCode>
                <c:ptCount val="4"/>
                <c:pt idx="0">
                  <c:v>9.9023996265175995E-2</c:v>
                </c:pt>
                <c:pt idx="1">
                  <c:v>6.2595559023722006E-2</c:v>
                </c:pt>
                <c:pt idx="2">
                  <c:v>2.7567484352831E-2</c:v>
                </c:pt>
                <c:pt idx="3">
                  <c:v>0.81081296035827277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73-41E7-B8B6-D0A0406FEF2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487535854256659"/>
          <c:y val="0.23377032416402496"/>
          <c:w val="0.33932955748952431"/>
          <c:h val="0.535902423961710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4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Leelawadee" panose="020B0502040204020203" pitchFamily="34" charset="-34"/>
              <a:ea typeface="+mn-ea"/>
              <a:cs typeface="Leelawadee" panose="020B0502040204020203" pitchFamily="34" charset="-34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2700" cap="flat" cmpd="sng" algn="ctr">
      <a:solidFill>
        <a:schemeClr val="tx2">
          <a:lumMod val="50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636187607443329"/>
          <c:y val="0.12103548601727297"/>
          <c:w val="0.52606235914704347"/>
          <c:h val="0.52163902828839093"/>
        </c:manualLayout>
      </c:layout>
      <c:barChart>
        <c:barDir val="col"/>
        <c:grouping val="clustered"/>
        <c:varyColors val="0"/>
        <c:ser>
          <c:idx val="1"/>
          <c:order val="2"/>
          <c:tx>
            <c:v>Multiplicador de Capital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'Resumen Ejecutivo'!$D$4:$J$4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'Resumen Ejecutivo'!$D$10:$J$10</c:f>
              <c:numCache>
                <c:formatCode>#,##0.00" x"</c:formatCode>
                <c:ptCount val="7"/>
                <c:pt idx="0">
                  <c:v>1.219313795017559</c:v>
                </c:pt>
                <c:pt idx="1">
                  <c:v>1.2266882546549098</c:v>
                </c:pt>
                <c:pt idx="2">
                  <c:v>1.4063688568991746</c:v>
                </c:pt>
                <c:pt idx="3">
                  <c:v>1.4157892749374354</c:v>
                </c:pt>
                <c:pt idx="4">
                  <c:v>1.4185087374801968</c:v>
                </c:pt>
                <c:pt idx="5">
                  <c:v>1.3152723341921504</c:v>
                </c:pt>
                <c:pt idx="6">
                  <c:v>1.363121185966236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87-45A7-8FDC-DDC882A47A1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0845184"/>
        <c:axId val="250413184"/>
      </c:barChart>
      <c:lineChart>
        <c:grouping val="standard"/>
        <c:varyColors val="0"/>
        <c:ser>
          <c:idx val="0"/>
          <c:order val="0"/>
          <c:tx>
            <c:v>ROA</c:v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'Resumen Ejecutivo'!$D$4:$J$4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'Resumen Ejecutivo'!$D$9:$J$9</c:f>
              <c:numCache>
                <c:formatCode>0.0%</c:formatCode>
                <c:ptCount val="7"/>
                <c:pt idx="0">
                  <c:v>2.9081592223777701E-2</c:v>
                </c:pt>
                <c:pt idx="1">
                  <c:v>3.5525547348540833E-2</c:v>
                </c:pt>
                <c:pt idx="2">
                  <c:v>5.2874605284387324E-2</c:v>
                </c:pt>
                <c:pt idx="3">
                  <c:v>5.0611757973706283E-2</c:v>
                </c:pt>
                <c:pt idx="4">
                  <c:v>3.6996352346302504E-2</c:v>
                </c:pt>
                <c:pt idx="5">
                  <c:v>6.4522063105077049E-2</c:v>
                </c:pt>
                <c:pt idx="6">
                  <c:v>4.1948479810906346E-2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87-45A7-8FDC-DDC882A47A17}"/>
            </c:ext>
          </c:extLst>
        </c:ser>
        <c:ser>
          <c:idx val="2"/>
          <c:order val="1"/>
          <c:tx>
            <c:v>ROE</c:v>
          </c:tx>
          <c:spPr>
            <a:ln w="28575" cap="rnd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'Resumen Ejecutivo'!$D$4:$J$4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'Resumen Ejecutivo'!$D$11:$J$11</c:f>
              <c:numCache>
                <c:formatCode>0.0%</c:formatCode>
                <c:ptCount val="7"/>
                <c:pt idx="0">
                  <c:v>3.5459586579527524E-2</c:v>
                </c:pt>
                <c:pt idx="1">
                  <c:v>4.3578771672641917E-2</c:v>
                </c:pt>
                <c:pt idx="2">
                  <c:v>7.436119819279885E-2</c:v>
                </c:pt>
                <c:pt idx="3">
                  <c:v>7.1655584124902583E-2</c:v>
                </c:pt>
                <c:pt idx="4">
                  <c:v>5.2479649058126084E-2</c:v>
                </c:pt>
                <c:pt idx="5">
                  <c:v>8.4864084547107921E-2</c:v>
                </c:pt>
                <c:pt idx="6">
                  <c:v>5.7180861549323364E-2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D87-45A7-8FDC-DDC882A47A17}"/>
            </c:ext>
          </c:extLst>
        </c:ser>
        <c:ser>
          <c:idx val="3"/>
          <c:order val="3"/>
          <c:tx>
            <c:strRef>
              <c:f>'Resumen Ejecutivo'!$C$22</c:f>
              <c:strCache>
                <c:ptCount val="1"/>
                <c:pt idx="0">
                  <c:v>Margen EBITDA %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val>
            <c:numRef>
              <c:f>'Resumen Ejecutivo'!$D$22:$J$22</c:f>
              <c:numCache>
                <c:formatCode>0.0%</c:formatCode>
                <c:ptCount val="7"/>
                <c:pt idx="0">
                  <c:v>0.13466406661719671</c:v>
                </c:pt>
                <c:pt idx="1">
                  <c:v>0.15354773932415047</c:v>
                </c:pt>
                <c:pt idx="2">
                  <c:v>0.15059677817496958</c:v>
                </c:pt>
                <c:pt idx="3">
                  <c:v>0.13618128485903713</c:v>
                </c:pt>
                <c:pt idx="4">
                  <c:v>0.13201156962647395</c:v>
                </c:pt>
                <c:pt idx="5">
                  <c:v>0.16379579458548157</c:v>
                </c:pt>
                <c:pt idx="6">
                  <c:v>0.14710162064865362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D87-45A7-8FDC-DDC882A47A1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40930384"/>
        <c:axId val="250414432"/>
      </c:lineChart>
      <c:catAx>
        <c:axId val="340930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dk1"/>
                    </a:solidFill>
                    <a:latin typeface="Leelawadee" panose="020B0502040204020203" pitchFamily="34" charset="-34"/>
                    <a:ea typeface="+mn-ea"/>
                    <a:cs typeface="Leelawadee" panose="020B0502040204020203" pitchFamily="34" charset="-34"/>
                  </a:defRPr>
                </a:pPr>
                <a:r>
                  <a:rPr lang="es-CO" sz="600"/>
                  <a:t>Años de estudio</a:t>
                </a:r>
              </a:p>
            </c:rich>
          </c:tx>
          <c:layout>
            <c:manualLayout>
              <c:xMode val="edge"/>
              <c:yMode val="edge"/>
              <c:x val="0.3087365418649598"/>
              <c:y val="0.724657359867611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dk1"/>
                  </a:solidFill>
                  <a:latin typeface="Leelawadee" panose="020B0502040204020203" pitchFamily="34" charset="-34"/>
                  <a:ea typeface="+mn-ea"/>
                  <a:cs typeface="Leelawadee" panose="020B0502040204020203" pitchFamily="34" charset="-34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dk1"/>
                </a:solidFill>
                <a:latin typeface="Leelawadee" panose="020B0502040204020203" pitchFamily="34" charset="-34"/>
                <a:ea typeface="+mn-ea"/>
                <a:cs typeface="Leelawadee" panose="020B0502040204020203" pitchFamily="34" charset="-34"/>
              </a:defRPr>
            </a:pPr>
            <a:endParaRPr lang="es-CO"/>
          </a:p>
        </c:txPr>
        <c:crossAx val="250414432"/>
        <c:crosses val="autoZero"/>
        <c:auto val="1"/>
        <c:lblAlgn val="ctr"/>
        <c:lblOffset val="100"/>
        <c:noMultiLvlLbl val="0"/>
      </c:catAx>
      <c:valAx>
        <c:axId val="250414432"/>
        <c:scaling>
          <c:orientation val="minMax"/>
          <c:max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dk1"/>
                    </a:solidFill>
                    <a:latin typeface="Leelawadee" panose="020B0502040204020203" pitchFamily="34" charset="-34"/>
                    <a:ea typeface="+mn-ea"/>
                    <a:cs typeface="Leelawadee" panose="020B0502040204020203" pitchFamily="34" charset="-34"/>
                  </a:defRPr>
                </a:pPr>
                <a:r>
                  <a:rPr lang="es-CO" sz="600"/>
                  <a:t>Eje porcentual - ROA, ROE y EBITDA </a:t>
                </a:r>
              </a:p>
            </c:rich>
          </c:tx>
          <c:layout>
            <c:manualLayout>
              <c:xMode val="edge"/>
              <c:yMode val="edge"/>
              <c:x val="1.7796748747487583E-2"/>
              <c:y val="0.141035932211693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dk1"/>
                  </a:solidFill>
                  <a:latin typeface="Leelawadee" panose="020B0502040204020203" pitchFamily="34" charset="-34"/>
                  <a:ea typeface="+mn-ea"/>
                  <a:cs typeface="Leelawadee" panose="020B0502040204020203" pitchFamily="34" charset="-34"/>
                </a:defRPr>
              </a:pPr>
              <a:endParaRPr lang="es-CO"/>
            </a:p>
          </c:txPr>
        </c:title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dk1"/>
                </a:solidFill>
                <a:latin typeface="Leelawadee" panose="020B0502040204020203" pitchFamily="34" charset="-34"/>
                <a:ea typeface="+mn-ea"/>
                <a:cs typeface="Leelawadee" panose="020B0502040204020203" pitchFamily="34" charset="-34"/>
              </a:defRPr>
            </a:pPr>
            <a:endParaRPr lang="es-CO"/>
          </a:p>
        </c:txPr>
        <c:crossAx val="340930384"/>
        <c:crosses val="autoZero"/>
        <c:crossBetween val="between"/>
      </c:valAx>
      <c:valAx>
        <c:axId val="25041318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dk1"/>
                    </a:solidFill>
                    <a:latin typeface="Leelawadee" panose="020B0502040204020203" pitchFamily="34" charset="-34"/>
                    <a:ea typeface="+mn-ea"/>
                    <a:cs typeface="Leelawadee" panose="020B0502040204020203" pitchFamily="34" charset="-34"/>
                  </a:defRPr>
                </a:pPr>
                <a:r>
                  <a:rPr lang="es-CO" sz="600"/>
                  <a:t>Eje en veces - Multiplicador de Capital</a:t>
                </a:r>
              </a:p>
            </c:rich>
          </c:tx>
          <c:layout>
            <c:manualLayout>
              <c:xMode val="edge"/>
              <c:yMode val="edge"/>
              <c:x val="0.74791509404930645"/>
              <c:y val="0.150548622287236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dk1"/>
                  </a:solidFill>
                  <a:latin typeface="Leelawadee" panose="020B0502040204020203" pitchFamily="34" charset="-34"/>
                  <a:ea typeface="+mn-ea"/>
                  <a:cs typeface="Leelawadee" panose="020B0502040204020203" pitchFamily="34" charset="-34"/>
                </a:defRPr>
              </a:pPr>
              <a:endParaRPr lang="es-CO"/>
            </a:p>
          </c:txPr>
        </c:title>
        <c:numFmt formatCode="0.00&quot;x&quot;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dk1"/>
                </a:solidFill>
                <a:latin typeface="Leelawadee" panose="020B0502040204020203" pitchFamily="34" charset="-34"/>
                <a:ea typeface="+mn-ea"/>
                <a:cs typeface="Leelawadee" panose="020B0502040204020203" pitchFamily="34" charset="-34"/>
              </a:defRPr>
            </a:pPr>
            <a:endParaRPr lang="es-CO"/>
          </a:p>
        </c:txPr>
        <c:crossAx val="340845184"/>
        <c:crosses val="max"/>
        <c:crossBetween val="between"/>
      </c:valAx>
      <c:catAx>
        <c:axId val="340845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504131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065783843193694"/>
          <c:y val="0.15394124529762926"/>
          <c:w val="0.19934212580842867"/>
          <c:h val="0.681988369087527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dk1"/>
              </a:solidFill>
              <a:latin typeface="Leelawadee" panose="020B0502040204020203" pitchFamily="34" charset="-34"/>
              <a:ea typeface="+mn-ea"/>
              <a:cs typeface="Leelawadee" panose="020B0502040204020203" pitchFamily="34" charset="-34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noFill/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Leelawadee" panose="020B0502040204020203" pitchFamily="34" charset="-34"/>
          <a:ea typeface="+mn-ea"/>
          <a:cs typeface="Leelawadee" panose="020B0502040204020203" pitchFamily="34" charset="-34"/>
        </a:defRPr>
      </a:pPr>
      <a:endParaRPr lang="es-CO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378497786109992E-2"/>
          <c:y val="8.0447788465694184E-2"/>
          <c:w val="0.65030701879360986"/>
          <c:h val="0.583447265980203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'Flujo de Caja'!$C$15</c:f>
              <c:strCache>
                <c:ptCount val="1"/>
                <c:pt idx="0">
                  <c:v>Flujo de Caja Libre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numRef>
              <c:f>'Flujo de Caja'!$D$4:$I$4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'Flujo de Caja'!$D$15:$I$15</c:f>
              <c:numCache>
                <c:formatCode>_(* #,##0_);_(* \(#,##0\);_(* "-"??_);_(@_)</c:formatCode>
                <c:ptCount val="6"/>
                <c:pt idx="0">
                  <c:v>36532.551734256791</c:v>
                </c:pt>
                <c:pt idx="1">
                  <c:v>14053.742029491739</c:v>
                </c:pt>
                <c:pt idx="2">
                  <c:v>-1507.9994089293759</c:v>
                </c:pt>
                <c:pt idx="3">
                  <c:v>19511.014612468072</c:v>
                </c:pt>
                <c:pt idx="4">
                  <c:v>44078.710143098237</c:v>
                </c:pt>
                <c:pt idx="5">
                  <c:v>18621.711834961221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37-4579-B73A-3F5BCFEE0F53}"/>
            </c:ext>
          </c:extLst>
        </c:ser>
        <c:ser>
          <c:idx val="1"/>
          <c:order val="1"/>
          <c:tx>
            <c:strRef>
              <c:f>'Flujo de Caja'!$C$18</c:f>
              <c:strCache>
                <c:ptCount val="1"/>
                <c:pt idx="0">
                  <c:v>Flujo de Caja Disponible para el Accionista 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numRef>
              <c:f>'Flujo de Caja'!$D$4:$I$4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'Flujo de Caja'!$D$18:$I$18</c:f>
              <c:numCache>
                <c:formatCode>_(* #,##0_);_(* \(#,##0\);_(* "-"??_);_(@_)</c:formatCode>
                <c:ptCount val="6"/>
                <c:pt idx="0">
                  <c:v>36532.551734256791</c:v>
                </c:pt>
                <c:pt idx="1">
                  <c:v>12359.488710679369</c:v>
                </c:pt>
                <c:pt idx="2">
                  <c:v>-7010.3638493451444</c:v>
                </c:pt>
                <c:pt idx="3">
                  <c:v>13323.011931502926</c:v>
                </c:pt>
                <c:pt idx="4">
                  <c:v>40386.426121250399</c:v>
                </c:pt>
                <c:pt idx="5">
                  <c:v>15352.092593793617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7-4579-B73A-3F5BCFEE0F53}"/>
            </c:ext>
          </c:extLst>
        </c:ser>
        <c:ser>
          <c:idx val="2"/>
          <c:order val="2"/>
          <c:tx>
            <c:strRef>
              <c:f>'Flujo de Caja'!$C$20</c:f>
              <c:strCache>
                <c:ptCount val="1"/>
                <c:pt idx="0">
                  <c:v>Flujo de Caja Disponible para Reinversion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'Flujo de Caja'!$D$4:$I$4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'Flujo de Caja'!$D$20:$I$20</c:f>
              <c:numCache>
                <c:formatCode>_(* #,##0_);_(* \(#,##0\);_(* "-"??_);_(@_)</c:formatCode>
                <c:ptCount val="6"/>
                <c:pt idx="0">
                  <c:v>22795.644952116232</c:v>
                </c:pt>
                <c:pt idx="1">
                  <c:v>975.98608960344063</c:v>
                </c:pt>
                <c:pt idx="2">
                  <c:v>-20234.900708955036</c:v>
                </c:pt>
                <c:pt idx="3">
                  <c:v>640.03606018925348</c:v>
                </c:pt>
                <c:pt idx="4">
                  <c:v>31348.807842921298</c:v>
                </c:pt>
                <c:pt idx="5">
                  <c:v>2851.2534474648055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37-4579-B73A-3F5BCFEE0F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395293968"/>
        <c:axId val="399109416"/>
      </c:barChart>
      <c:catAx>
        <c:axId val="39529396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dk1"/>
                    </a:solidFill>
                    <a:latin typeface="Leelawadee" panose="020B0502040204020203" pitchFamily="34" charset="-34"/>
                    <a:ea typeface="+mn-ea"/>
                    <a:cs typeface="Leelawadee" panose="020B0502040204020203" pitchFamily="34" charset="-34"/>
                  </a:defRPr>
                </a:pPr>
                <a:r>
                  <a:rPr lang="es-CO" sz="600">
                    <a:latin typeface="Leelawadee" panose="020B0502040204020203" pitchFamily="34" charset="-34"/>
                    <a:cs typeface="Leelawadee" panose="020B0502040204020203" pitchFamily="34" charset="-34"/>
                  </a:rPr>
                  <a:t>Años de Estudio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dk1"/>
                  </a:solidFill>
                  <a:latin typeface="Leelawadee" panose="020B0502040204020203" pitchFamily="34" charset="-34"/>
                  <a:ea typeface="+mn-ea"/>
                  <a:cs typeface="Leelawadee" panose="020B0502040204020203" pitchFamily="34" charset="-34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dk1"/>
                </a:solidFill>
                <a:latin typeface="Leelawadee" panose="020B0502040204020203" pitchFamily="34" charset="-34"/>
                <a:ea typeface="+mn-ea"/>
                <a:cs typeface="Leelawadee" panose="020B0502040204020203" pitchFamily="34" charset="-34"/>
              </a:defRPr>
            </a:pPr>
            <a:endParaRPr lang="es-CO"/>
          </a:p>
        </c:txPr>
        <c:crossAx val="399109416"/>
        <c:crosses val="autoZero"/>
        <c:auto val="1"/>
        <c:lblAlgn val="ctr"/>
        <c:lblOffset val="100"/>
        <c:noMultiLvlLbl val="0"/>
      </c:catAx>
      <c:valAx>
        <c:axId val="399109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dk1"/>
                    </a:solidFill>
                    <a:latin typeface="Leelawadee" panose="020B0502040204020203" pitchFamily="34" charset="-34"/>
                    <a:ea typeface="+mn-ea"/>
                    <a:cs typeface="Leelawadee" panose="020B0502040204020203" pitchFamily="34" charset="-34"/>
                  </a:defRPr>
                </a:pPr>
                <a:r>
                  <a:rPr lang="es-CO" sz="600">
                    <a:latin typeface="Leelawadee" panose="020B0502040204020203" pitchFamily="34" charset="-34"/>
                    <a:cs typeface="Leelawadee" panose="020B0502040204020203" pitchFamily="34" charset="-34"/>
                  </a:rPr>
                  <a:t>Cifras en USD miles a 31 de diciembre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dk1"/>
                  </a:solidFill>
                  <a:latin typeface="Leelawadee" panose="020B0502040204020203" pitchFamily="34" charset="-34"/>
                  <a:ea typeface="+mn-ea"/>
                  <a:cs typeface="Leelawadee" panose="020B0502040204020203" pitchFamily="34" charset="-34"/>
                </a:defRPr>
              </a:pPr>
              <a:endParaRPr lang="es-CO"/>
            </a:p>
          </c:txPr>
        </c:title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dk1"/>
                </a:solidFill>
                <a:latin typeface="Leelawadee" panose="020B0502040204020203" pitchFamily="34" charset="-34"/>
                <a:ea typeface="+mn-ea"/>
                <a:cs typeface="Leelawadee" panose="020B0502040204020203" pitchFamily="34" charset="-34"/>
              </a:defRPr>
            </a:pPr>
            <a:endParaRPr lang="es-CO"/>
          </a:p>
        </c:txPr>
        <c:crossAx val="39529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559184030028631"/>
          <c:y val="5.3477043485180523E-2"/>
          <c:w val="0.16503708859873109"/>
          <c:h val="0.669669781467555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dk1"/>
              </a:solidFill>
              <a:latin typeface="Leelawadee" panose="020B0502040204020203" pitchFamily="34" charset="-34"/>
              <a:ea typeface="+mn-ea"/>
              <a:cs typeface="Leelawadee" panose="020B0502040204020203" pitchFamily="34" charset="-34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noFill/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CO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0.60526</cdr:x>
      <cdr:y>0.83258</cdr:y>
    </cdr:from>
    <cdr:to>
      <cdr:x>0.95029</cdr:x>
      <cdr:y>0.99095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A07583F7-23E7-4D2A-B8E3-7682B5C798FB}"/>
            </a:ext>
          </a:extLst>
        </cdr:cNvPr>
        <cdr:cNvSpPr txBox="1"/>
      </cdr:nvSpPr>
      <cdr:spPr>
        <a:xfrm xmlns:a="http://schemas.openxmlformats.org/drawingml/2006/main">
          <a:off x="1971674" y="1752600"/>
          <a:ext cx="112395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CO" sz="1100"/>
        </a:p>
      </cdr:txBody>
    </cdr:sp>
  </cdr:relSizeAnchor>
  <cdr:relSizeAnchor xmlns:cdr="http://schemas.openxmlformats.org/drawingml/2006/chartDrawing">
    <cdr:from>
      <cdr:x>0.54349</cdr:x>
      <cdr:y>0.8269</cdr:y>
    </cdr:from>
    <cdr:to>
      <cdr:x>1</cdr:x>
      <cdr:y>1</cdr:y>
    </cdr:to>
    <cdr:sp macro="" textlink="">
      <cdr:nvSpPr>
        <cdr:cNvPr id="3" name="CuadroTexto 7">
          <a:extLst xmlns:a="http://schemas.openxmlformats.org/drawingml/2006/main">
            <a:ext uri="{FF2B5EF4-FFF2-40B4-BE49-F238E27FC236}">
              <a16:creationId xmlns:a16="http://schemas.microsoft.com/office/drawing/2014/main" id="{15F11E4A-4E90-4B0C-92D1-40330F297937}"/>
            </a:ext>
          </a:extLst>
        </cdr:cNvPr>
        <cdr:cNvSpPr txBox="1"/>
      </cdr:nvSpPr>
      <cdr:spPr>
        <a:xfrm xmlns:a="http://schemas.openxmlformats.org/drawingml/2006/main">
          <a:off x="6271895" y="7104380"/>
          <a:ext cx="1086485" cy="2762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/>
        <a:p xmlns:a="http://schemas.openxmlformats.org/drawingml/2006/main">
          <a:pPr>
            <a:spcAft>
              <a:spcPts val="0"/>
            </a:spcAft>
          </a:pPr>
          <a:r>
            <a:rPr lang="es-CO" sz="600" i="1">
              <a:solidFill>
                <a:srgbClr val="000000"/>
              </a:solidFill>
              <a:effectLst/>
              <a:latin typeface="Leelawadee" panose="020B0502040204020203" pitchFamily="34" charset="-34"/>
              <a:ea typeface="Times New Roman" panose="02020603050405020304" pitchFamily="18" charset="0"/>
            </a:rPr>
            <a:t>Elaborado por: Grupo H</a:t>
          </a:r>
          <a:endParaRPr lang="es-CO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  <a:p xmlns:a="http://schemas.openxmlformats.org/drawingml/2006/main">
          <a:pPr>
            <a:spcAft>
              <a:spcPts val="0"/>
            </a:spcAft>
          </a:pPr>
          <a:r>
            <a:rPr lang="es-CO" sz="600" i="1">
              <a:solidFill>
                <a:srgbClr val="000000"/>
              </a:solidFill>
              <a:effectLst/>
              <a:latin typeface="Leelawadee" panose="020B0502040204020203" pitchFamily="34" charset="-34"/>
              <a:ea typeface="Times New Roman" panose="02020603050405020304" pitchFamily="18" charset="0"/>
            </a:rPr>
            <a:t>Fuente: EMIS (2018)</a:t>
          </a:r>
          <a:endParaRPr lang="es-CO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0.8091</cdr:y>
    </cdr:from>
    <cdr:to>
      <cdr:x>0.84241</cdr:x>
      <cdr:y>0.98727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02E49832-E4E0-410E-8B2E-08ECEA6A7039}"/>
            </a:ext>
          </a:extLst>
        </cdr:cNvPr>
        <cdr:cNvSpPr txBox="1"/>
      </cdr:nvSpPr>
      <cdr:spPr>
        <a:xfrm xmlns:a="http://schemas.openxmlformats.org/drawingml/2006/main">
          <a:off x="0" y="1981133"/>
          <a:ext cx="2950141" cy="436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CO" sz="700" i="1">
              <a:latin typeface="Leelawadee" panose="020B0502040204020203" pitchFamily="34" charset="-34"/>
              <a:cs typeface="Leelawadee" panose="020B0502040204020203" pitchFamily="34" charset="-34"/>
            </a:rPr>
            <a:t>Fuente:</a:t>
          </a:r>
          <a:r>
            <a:rPr lang="es-CO" sz="700" i="1" baseline="0">
              <a:latin typeface="Leelawadee" panose="020B0502040204020203" pitchFamily="34" charset="-34"/>
              <a:cs typeface="Leelawadee" panose="020B0502040204020203" pitchFamily="34" charset="-34"/>
            </a:rPr>
            <a:t> Reportes financieros anuales (2013-2019) Smurfit Kappa Cartón de Colombia S.A</a:t>
          </a:r>
        </a:p>
        <a:p xmlns:a="http://schemas.openxmlformats.org/drawingml/2006/main">
          <a:r>
            <a:rPr lang="es-CO" sz="700" i="1" baseline="0">
              <a:latin typeface="Leelawadee" panose="020B0502040204020203" pitchFamily="34" charset="-34"/>
              <a:cs typeface="Leelawadee" panose="020B0502040204020203" pitchFamily="34" charset="-34"/>
            </a:rPr>
            <a:t>Elaborado por: Grupo H </a:t>
          </a:r>
          <a:endParaRPr lang="es-CO" sz="700" i="1">
            <a:latin typeface="Leelawadee" panose="020B0502040204020203" pitchFamily="34" charset="-34"/>
            <a:cs typeface="Leelawadee" panose="020B0502040204020203" pitchFamily="34" charset="-34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0.8339</cdr:y>
    </cdr:from>
    <cdr:to>
      <cdr:x>0.84126</cdr:x>
      <cdr:y>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9DA1B60E-1D2E-4EE7-92A3-1F784BDE852D}"/>
            </a:ext>
          </a:extLst>
        </cdr:cNvPr>
        <cdr:cNvSpPr txBox="1"/>
      </cdr:nvSpPr>
      <cdr:spPr>
        <a:xfrm xmlns:a="http://schemas.openxmlformats.org/drawingml/2006/main">
          <a:off x="-4078014" y="1893058"/>
          <a:ext cx="2652304" cy="3770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CO" sz="700" i="1">
              <a:latin typeface="Leelawadee" panose="020B0502040204020203" pitchFamily="34" charset="-34"/>
              <a:cs typeface="Leelawadee" panose="020B0502040204020203" pitchFamily="34" charset="-34"/>
            </a:rPr>
            <a:t>Fuente:</a:t>
          </a:r>
          <a:r>
            <a:rPr lang="es-CO" sz="700" i="1" baseline="0">
              <a:latin typeface="Leelawadee" panose="020B0502040204020203" pitchFamily="34" charset="-34"/>
              <a:cs typeface="Leelawadee" panose="020B0502040204020203" pitchFamily="34" charset="-34"/>
            </a:rPr>
            <a:t> Reportes financieros anuales (2013-2019) Smurfit Kappa Cartón de Colombia S.A</a:t>
          </a:r>
        </a:p>
        <a:p xmlns:a="http://schemas.openxmlformats.org/drawingml/2006/main">
          <a:r>
            <a:rPr lang="es-CO" sz="700" i="1" baseline="0">
              <a:latin typeface="Leelawadee" panose="020B0502040204020203" pitchFamily="34" charset="-34"/>
              <a:cs typeface="Leelawadee" panose="020B0502040204020203" pitchFamily="34" charset="-34"/>
            </a:rPr>
            <a:t>Elaborado por: Grupo H </a:t>
          </a:r>
          <a:endParaRPr lang="es-CO" sz="700" i="1">
            <a:latin typeface="Leelawadee" panose="020B0502040204020203" pitchFamily="34" charset="-34"/>
            <a:cs typeface="Leelawadee" panose="020B0502040204020203" pitchFamily="34" charset="-34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0A98-2871-475D-AA6B-7F95EFC6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1086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Mejia</dc:creator>
  <cp:lastModifiedBy>Tatiana Callejas Ramirez</cp:lastModifiedBy>
  <cp:revision>14</cp:revision>
  <cp:lastPrinted>2016-12-02T18:09:00Z</cp:lastPrinted>
  <dcterms:created xsi:type="dcterms:W3CDTF">2020-05-28T23:44:00Z</dcterms:created>
  <dcterms:modified xsi:type="dcterms:W3CDTF">2020-05-29T02:57:00Z</dcterms:modified>
</cp:coreProperties>
</file>